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6BD8" w14:textId="77777777" w:rsidR="003F2710" w:rsidRPr="001F488C" w:rsidRDefault="003F2710" w:rsidP="003F2710">
      <w:pPr>
        <w:jc w:val="center"/>
        <w:rPr>
          <w:rFonts w:ascii="Arial" w:hAnsi="Arial" w:cs="Arial"/>
          <w:sz w:val="40"/>
          <w:szCs w:val="40"/>
        </w:rPr>
      </w:pPr>
      <w:r w:rsidRPr="001F488C">
        <w:rPr>
          <w:rFonts w:ascii="Arial" w:hAnsi="Arial" w:cs="Arial"/>
          <w:sz w:val="40"/>
          <w:szCs w:val="40"/>
        </w:rPr>
        <w:t xml:space="preserve">Engineer’s Report </w:t>
      </w:r>
    </w:p>
    <w:p w14:paraId="524ECA8E" w14:textId="550E06F3" w:rsidR="001F488C" w:rsidRPr="001F488C" w:rsidRDefault="003F2710" w:rsidP="003F2710">
      <w:pPr>
        <w:jc w:val="center"/>
        <w:rPr>
          <w:rFonts w:ascii="Arial" w:hAnsi="Arial" w:cs="Arial"/>
          <w:sz w:val="40"/>
          <w:szCs w:val="40"/>
        </w:rPr>
      </w:pPr>
      <w:r w:rsidRPr="001F488C">
        <w:rPr>
          <w:rFonts w:ascii="Arial" w:hAnsi="Arial" w:cs="Arial"/>
          <w:sz w:val="40"/>
          <w:szCs w:val="40"/>
        </w:rPr>
        <w:t xml:space="preserve">Evaluating the </w:t>
      </w:r>
      <w:r w:rsidR="00055262">
        <w:rPr>
          <w:rFonts w:ascii="Arial" w:hAnsi="Arial" w:cs="Arial"/>
          <w:sz w:val="40"/>
          <w:szCs w:val="40"/>
        </w:rPr>
        <w:t>Continued</w:t>
      </w:r>
      <w:r w:rsidRPr="001F488C">
        <w:rPr>
          <w:rFonts w:ascii="Arial" w:hAnsi="Arial" w:cs="Arial"/>
          <w:sz w:val="40"/>
          <w:szCs w:val="40"/>
        </w:rPr>
        <w:t xml:space="preserve"> </w:t>
      </w:r>
    </w:p>
    <w:p w14:paraId="5AC94181" w14:textId="33BD9A47" w:rsidR="003F2710" w:rsidRPr="001F488C" w:rsidRDefault="003F2710" w:rsidP="003F2710">
      <w:pPr>
        <w:jc w:val="center"/>
        <w:rPr>
          <w:rFonts w:ascii="Arial" w:hAnsi="Arial" w:cs="Arial"/>
          <w:sz w:val="40"/>
          <w:szCs w:val="40"/>
        </w:rPr>
      </w:pPr>
      <w:r w:rsidRPr="001F488C">
        <w:rPr>
          <w:rFonts w:ascii="Arial" w:hAnsi="Arial" w:cs="Arial"/>
          <w:sz w:val="40"/>
          <w:szCs w:val="40"/>
        </w:rPr>
        <w:t xml:space="preserve">Water Availability Assessment </w:t>
      </w:r>
    </w:p>
    <w:p w14:paraId="3E5F0C85" w14:textId="148C05DA" w:rsidR="003F2710" w:rsidRPr="003F2710" w:rsidRDefault="003F2710" w:rsidP="003F2710">
      <w:pPr>
        <w:jc w:val="center"/>
        <w:rPr>
          <w:rFonts w:ascii="Arial" w:hAnsi="Arial" w:cs="Arial"/>
          <w:sz w:val="28"/>
          <w:szCs w:val="28"/>
        </w:rPr>
      </w:pPr>
      <w:r w:rsidRPr="003F2710">
        <w:rPr>
          <w:rFonts w:ascii="Arial" w:hAnsi="Arial" w:cs="Arial"/>
          <w:sz w:val="28"/>
          <w:szCs w:val="28"/>
        </w:rPr>
        <w:t>for the</w:t>
      </w:r>
    </w:p>
    <w:p w14:paraId="45CD87D0" w14:textId="0B6B7460" w:rsidR="003F2710" w:rsidRPr="001F488C" w:rsidRDefault="003F2710" w:rsidP="003F2710">
      <w:pPr>
        <w:jc w:val="center"/>
        <w:rPr>
          <w:rFonts w:ascii="Arial" w:hAnsi="Arial" w:cs="Arial"/>
          <w:sz w:val="44"/>
          <w:szCs w:val="44"/>
        </w:rPr>
      </w:pPr>
      <w:r w:rsidRPr="001F488C">
        <w:rPr>
          <w:rFonts w:ascii="Arial" w:hAnsi="Arial" w:cs="Arial"/>
          <w:sz w:val="44"/>
          <w:szCs w:val="44"/>
        </w:rPr>
        <w:t>San Luis Rey Municipal Water District</w:t>
      </w:r>
    </w:p>
    <w:p w14:paraId="6EEBFFB8" w14:textId="77777777" w:rsidR="001F488C" w:rsidRDefault="003F2710" w:rsidP="003F2710">
      <w:pPr>
        <w:jc w:val="center"/>
        <w:rPr>
          <w:rFonts w:ascii="Arial" w:hAnsi="Arial" w:cs="Arial"/>
          <w:sz w:val="28"/>
          <w:szCs w:val="28"/>
        </w:rPr>
      </w:pPr>
      <w:r>
        <w:rPr>
          <w:rFonts w:ascii="Arial" w:hAnsi="Arial" w:cs="Arial"/>
          <w:noProof/>
          <w:sz w:val="28"/>
          <w:szCs w:val="28"/>
        </w:rPr>
        <w:drawing>
          <wp:inline distT="0" distB="0" distL="0" distR="0" wp14:anchorId="51A3C05E" wp14:editId="1217C486">
            <wp:extent cx="1901825" cy="475615"/>
            <wp:effectExtent l="0" t="0" r="3175" b="635"/>
            <wp:docPr id="2" name="Picture 1" descr="A close 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475615"/>
                    </a:xfrm>
                    <a:prstGeom prst="rect">
                      <a:avLst/>
                    </a:prstGeom>
                    <a:noFill/>
                    <a:ln>
                      <a:noFill/>
                    </a:ln>
                  </pic:spPr>
                </pic:pic>
              </a:graphicData>
            </a:graphic>
          </wp:inline>
        </w:drawing>
      </w:r>
    </w:p>
    <w:p w14:paraId="12E713A1" w14:textId="77777777" w:rsidR="001F488C" w:rsidRDefault="001F488C" w:rsidP="003F2710">
      <w:pPr>
        <w:jc w:val="center"/>
        <w:rPr>
          <w:rFonts w:ascii="Arial" w:hAnsi="Arial" w:cs="Arial"/>
          <w:sz w:val="28"/>
          <w:szCs w:val="28"/>
        </w:rPr>
      </w:pPr>
    </w:p>
    <w:p w14:paraId="5C2D77D4" w14:textId="4BDFBFBD" w:rsidR="001F488C" w:rsidRDefault="00055262" w:rsidP="003F2710">
      <w:pPr>
        <w:jc w:val="center"/>
        <w:rPr>
          <w:rFonts w:ascii="Arial" w:hAnsi="Arial" w:cs="Arial"/>
          <w:sz w:val="28"/>
          <w:szCs w:val="28"/>
        </w:rPr>
      </w:pPr>
      <w:r>
        <w:rPr>
          <w:rFonts w:ascii="Arial" w:hAnsi="Arial" w:cs="Arial"/>
          <w:sz w:val="28"/>
          <w:szCs w:val="28"/>
        </w:rPr>
        <w:t>June</w:t>
      </w:r>
      <w:r w:rsidR="001F488C">
        <w:rPr>
          <w:rFonts w:ascii="Arial" w:hAnsi="Arial" w:cs="Arial"/>
          <w:sz w:val="28"/>
          <w:szCs w:val="28"/>
        </w:rPr>
        <w:t xml:space="preserve"> 1</w:t>
      </w:r>
      <w:r>
        <w:rPr>
          <w:rFonts w:ascii="Arial" w:hAnsi="Arial" w:cs="Arial"/>
          <w:sz w:val="28"/>
          <w:szCs w:val="28"/>
        </w:rPr>
        <w:t>2</w:t>
      </w:r>
      <w:r w:rsidR="001F488C">
        <w:rPr>
          <w:rFonts w:ascii="Arial" w:hAnsi="Arial" w:cs="Arial"/>
          <w:sz w:val="28"/>
          <w:szCs w:val="28"/>
        </w:rPr>
        <w:t>, 202</w:t>
      </w:r>
      <w:r>
        <w:rPr>
          <w:rFonts w:ascii="Arial" w:hAnsi="Arial" w:cs="Arial"/>
          <w:sz w:val="28"/>
          <w:szCs w:val="28"/>
        </w:rPr>
        <w:t>6</w:t>
      </w:r>
    </w:p>
    <w:p w14:paraId="540B30BB" w14:textId="77777777" w:rsidR="001F488C" w:rsidRDefault="001F488C" w:rsidP="003F2710">
      <w:pPr>
        <w:jc w:val="center"/>
        <w:rPr>
          <w:rFonts w:ascii="Arial" w:hAnsi="Arial" w:cs="Arial"/>
          <w:sz w:val="28"/>
          <w:szCs w:val="28"/>
        </w:rPr>
      </w:pPr>
    </w:p>
    <w:p w14:paraId="17F1C0A4" w14:textId="77777777" w:rsidR="001F488C" w:rsidRDefault="001F488C" w:rsidP="003F2710">
      <w:pPr>
        <w:jc w:val="center"/>
        <w:rPr>
          <w:rFonts w:ascii="Arial" w:hAnsi="Arial" w:cs="Arial"/>
          <w:sz w:val="28"/>
          <w:szCs w:val="28"/>
        </w:rPr>
      </w:pPr>
    </w:p>
    <w:p w14:paraId="0979A154" w14:textId="77777777" w:rsidR="001F488C" w:rsidRDefault="001F488C" w:rsidP="003F2710">
      <w:pPr>
        <w:jc w:val="center"/>
        <w:rPr>
          <w:rFonts w:ascii="Arial" w:hAnsi="Arial" w:cs="Arial"/>
          <w:sz w:val="28"/>
          <w:szCs w:val="28"/>
        </w:rPr>
      </w:pPr>
    </w:p>
    <w:p w14:paraId="0FABCEEA" w14:textId="77777777" w:rsidR="001F488C" w:rsidRDefault="001F488C" w:rsidP="003F2710">
      <w:pPr>
        <w:jc w:val="center"/>
        <w:rPr>
          <w:rFonts w:ascii="Arial" w:hAnsi="Arial" w:cs="Arial"/>
          <w:sz w:val="28"/>
          <w:szCs w:val="28"/>
        </w:rPr>
      </w:pPr>
    </w:p>
    <w:p w14:paraId="6A4A102E" w14:textId="77777777" w:rsidR="001F488C" w:rsidRDefault="001F488C" w:rsidP="003F2710">
      <w:pPr>
        <w:jc w:val="center"/>
        <w:rPr>
          <w:rFonts w:ascii="Arial" w:hAnsi="Arial" w:cs="Arial"/>
          <w:sz w:val="28"/>
          <w:szCs w:val="28"/>
        </w:rPr>
      </w:pPr>
    </w:p>
    <w:p w14:paraId="1D3C95F9" w14:textId="77777777" w:rsidR="001F488C" w:rsidRDefault="001F488C" w:rsidP="003F2710">
      <w:pPr>
        <w:jc w:val="center"/>
        <w:rPr>
          <w:rFonts w:ascii="Arial" w:hAnsi="Arial" w:cs="Arial"/>
          <w:sz w:val="28"/>
          <w:szCs w:val="28"/>
        </w:rPr>
      </w:pPr>
      <w:r>
        <w:rPr>
          <w:rFonts w:ascii="Arial" w:hAnsi="Arial" w:cs="Arial"/>
          <w:sz w:val="28"/>
          <w:szCs w:val="28"/>
        </w:rPr>
        <w:t xml:space="preserve">Prepared by </w:t>
      </w:r>
    </w:p>
    <w:p w14:paraId="25BF5123" w14:textId="127097B7" w:rsidR="001F488C" w:rsidRDefault="00614087" w:rsidP="003F2710">
      <w:pPr>
        <w:jc w:val="center"/>
        <w:rPr>
          <w:rFonts w:ascii="Arial" w:hAnsi="Arial" w:cs="Arial"/>
          <w:sz w:val="28"/>
          <w:szCs w:val="28"/>
        </w:rPr>
      </w:pPr>
      <w:r>
        <w:rPr>
          <w:rFonts w:ascii="Arial" w:hAnsi="Arial" w:cs="Arial"/>
          <w:sz w:val="28"/>
          <w:szCs w:val="28"/>
        </w:rPr>
        <w:t>Brian J. Brady</w:t>
      </w:r>
    </w:p>
    <w:p w14:paraId="1ABD13F3" w14:textId="4D033AD1" w:rsidR="003F2710" w:rsidRPr="003F2710" w:rsidRDefault="001F488C" w:rsidP="003F2710">
      <w:pPr>
        <w:jc w:val="center"/>
        <w:rPr>
          <w:rFonts w:ascii="Arial" w:hAnsi="Arial" w:cs="Arial"/>
          <w:sz w:val="28"/>
          <w:szCs w:val="28"/>
        </w:rPr>
      </w:pPr>
      <w:r>
        <w:rPr>
          <w:rFonts w:ascii="Arial" w:hAnsi="Arial" w:cs="Arial"/>
          <w:sz w:val="28"/>
          <w:szCs w:val="28"/>
        </w:rPr>
        <w:t>California Registered Civil Engineer #</w:t>
      </w:r>
      <w:r w:rsidR="00614087">
        <w:rPr>
          <w:rFonts w:ascii="Arial" w:hAnsi="Arial" w:cs="Arial"/>
          <w:sz w:val="28"/>
          <w:szCs w:val="28"/>
        </w:rPr>
        <w:t>23749</w:t>
      </w:r>
      <w:r w:rsidR="003F2710" w:rsidRPr="003F2710">
        <w:rPr>
          <w:rFonts w:ascii="Arial" w:hAnsi="Arial" w:cs="Arial"/>
          <w:sz w:val="28"/>
          <w:szCs w:val="28"/>
        </w:rPr>
        <w:br w:type="page"/>
      </w:r>
    </w:p>
    <w:p w14:paraId="7D75B948" w14:textId="77777777" w:rsidR="001E2001" w:rsidRDefault="001E2001">
      <w:pPr>
        <w:spacing w:before="240"/>
      </w:pPr>
      <w:r w:rsidRPr="00A4574D">
        <w:rPr>
          <w:rFonts w:ascii="Arial" w:hAnsi="Arial" w:cs="Arial"/>
          <w:sz w:val="28"/>
          <w:szCs w:val="28"/>
          <w:u w:val="single"/>
        </w:rPr>
        <w:lastRenderedPageBreak/>
        <w:t xml:space="preserve">Introduction and </w:t>
      </w:r>
      <w:r>
        <w:rPr>
          <w:rFonts w:ascii="Arial" w:hAnsi="Arial" w:cs="Arial"/>
          <w:sz w:val="28"/>
          <w:szCs w:val="28"/>
          <w:u w:val="single"/>
        </w:rPr>
        <w:t>History</w:t>
      </w:r>
    </w:p>
    <w:p w14:paraId="6FAF7CC8" w14:textId="77777777" w:rsidR="00614087" w:rsidRPr="00B14169" w:rsidRDefault="00614087">
      <w:pPr>
        <w:spacing w:before="240"/>
        <w:jc w:val="both"/>
        <w:rPr>
          <w:rFonts w:ascii="Arial" w:hAnsi="Arial" w:cs="Arial"/>
          <w:sz w:val="24"/>
          <w:szCs w:val="24"/>
        </w:rPr>
      </w:pPr>
      <w:r>
        <w:rPr>
          <w:rFonts w:ascii="Arial" w:hAnsi="Arial" w:cs="Arial"/>
          <w:b/>
          <w:bCs/>
          <w:sz w:val="24"/>
          <w:szCs w:val="24"/>
        </w:rPr>
        <w:t>District Formation and Service Area</w:t>
      </w:r>
    </w:p>
    <w:p w14:paraId="05C1E3EB" w14:textId="77777777" w:rsidR="001E2001" w:rsidRDefault="001E2001">
      <w:pPr>
        <w:spacing w:before="240"/>
        <w:jc w:val="both"/>
      </w:pPr>
      <w:r>
        <w:rPr>
          <w:rFonts w:ascii="Arial" w:hAnsi="Arial" w:cs="Arial"/>
          <w:sz w:val="24"/>
          <w:szCs w:val="24"/>
        </w:rPr>
        <w:t>San Luis Rey Municipal Water District (SLRMWD, SLR, or District) was formed on October 17, 1958, under the Municipal Water District Act of 1911 (California Water Code Section 71000 et seq.). The District now includes fewer than 2,000 acres in northern San Diego County, extending east from Interstate 15 along the San Luis Rey River valley to the boundary of the Pala Band of Mission Indians reservation.</w:t>
      </w:r>
    </w:p>
    <w:p w14:paraId="2C7E6D67" w14:textId="77777777" w:rsidR="001E2001" w:rsidRDefault="001E2001">
      <w:pPr>
        <w:spacing w:before="240"/>
        <w:jc w:val="both"/>
      </w:pPr>
      <w:r>
        <w:rPr>
          <w:rFonts w:ascii="Arial" w:hAnsi="Arial" w:cs="Arial"/>
          <w:sz w:val="24"/>
          <w:szCs w:val="24"/>
        </w:rPr>
        <w:t>For landowners within the District, the sole water source is the flow of the San Luis Rey River within the Pala and Bonsall hydraulic groundwater subbasins.</w:t>
      </w:r>
    </w:p>
    <w:p w14:paraId="47B7BE6B" w14:textId="77777777" w:rsidR="00614087" w:rsidRPr="00B14169" w:rsidRDefault="00614087">
      <w:pPr>
        <w:spacing w:before="240"/>
        <w:jc w:val="both"/>
        <w:rPr>
          <w:rFonts w:ascii="Arial" w:hAnsi="Arial" w:cs="Arial"/>
          <w:sz w:val="24"/>
          <w:szCs w:val="24"/>
        </w:rPr>
      </w:pPr>
      <w:r>
        <w:rPr>
          <w:rFonts w:ascii="Arial" w:hAnsi="Arial" w:cs="Arial"/>
          <w:b/>
          <w:bCs/>
          <w:sz w:val="24"/>
          <w:szCs w:val="24"/>
        </w:rPr>
        <w:t>Purpose and Role of the District</w:t>
      </w:r>
    </w:p>
    <w:p w14:paraId="11A17EC9" w14:textId="77777777" w:rsidR="001E2001" w:rsidRDefault="001E2001">
      <w:pPr>
        <w:spacing w:before="240"/>
        <w:jc w:val="both"/>
      </w:pPr>
      <w:r>
        <w:rPr>
          <w:rFonts w:ascii="Arial" w:hAnsi="Arial" w:cs="Arial"/>
          <w:sz w:val="24"/>
          <w:szCs w:val="24"/>
        </w:rPr>
        <w:t>Since its formation, the District’s primary role has been to act on behalf of its primarily agricultural landowners by monitoring governmental and non-governmental actions that may affect local water rights, water storage rights, or water quality. The founding landowners created the District to represent their shared interests more effectively and to benefit from economies of scale.</w:t>
      </w:r>
    </w:p>
    <w:p w14:paraId="78326C95" w14:textId="77777777" w:rsidR="001E2001" w:rsidRDefault="001E2001">
      <w:pPr>
        <w:spacing w:before="240"/>
        <w:jc w:val="both"/>
      </w:pPr>
      <w:r>
        <w:rPr>
          <w:rFonts w:ascii="Arial" w:hAnsi="Arial" w:cs="Arial"/>
          <w:sz w:val="24"/>
          <w:szCs w:val="24"/>
        </w:rPr>
        <w:t>Each landowner remains responsible for producing, using, and documenting their own water supply. The District does not own or maintain physical water works; instead, it serves as a collective voice for landowners seeking to preserve the water rights and related entitlements that support agricultural production on their properties.</w:t>
      </w:r>
    </w:p>
    <w:p w14:paraId="5EB75EA7" w14:textId="77777777" w:rsidR="00614087" w:rsidRPr="00B14169" w:rsidRDefault="00614087">
      <w:pPr>
        <w:spacing w:before="240"/>
        <w:jc w:val="both"/>
        <w:rPr>
          <w:rFonts w:ascii="Arial" w:hAnsi="Arial" w:cs="Arial"/>
          <w:sz w:val="24"/>
          <w:szCs w:val="24"/>
        </w:rPr>
      </w:pPr>
      <w:r>
        <w:rPr>
          <w:rFonts w:ascii="Arial" w:hAnsi="Arial" w:cs="Arial"/>
          <w:b/>
          <w:bCs/>
          <w:sz w:val="24"/>
          <w:szCs w:val="24"/>
        </w:rPr>
        <w:t>Water Service Activities</w:t>
      </w:r>
    </w:p>
    <w:p w14:paraId="0971B71B" w14:textId="77777777" w:rsidR="001E2001" w:rsidRDefault="001E2001">
      <w:pPr>
        <w:spacing w:before="240"/>
        <w:jc w:val="both"/>
      </w:pPr>
      <w:r>
        <w:rPr>
          <w:rFonts w:ascii="Arial" w:hAnsi="Arial" w:cs="Arial"/>
          <w:sz w:val="24"/>
          <w:szCs w:val="24"/>
        </w:rPr>
        <w:t>The District monitors and responds to water, land-use, environmental, and regulatory matters that may affect the quality or quantity of water available to District users. Its water service activities include:</w:t>
      </w:r>
    </w:p>
    <w:p w14:paraId="7F265477" w14:textId="77777777" w:rsidR="001E2001" w:rsidRDefault="001E2001" w:rsidP="001E2001">
      <w:pPr>
        <w:pStyle w:val="ListParagraph"/>
        <w:numPr>
          <w:ilvl w:val="0"/>
          <w:numId w:val="1"/>
        </w:numPr>
        <w:rPr>
          <w:kern w:val="2"/>
          <w14:ligatures w14:val="standardContextual"/>
        </w:rPr>
      </w:pPr>
      <w:r>
        <w:rPr>
          <w:rFonts w:ascii="Arial" w:hAnsi="Arial" w:cs="Arial"/>
          <w:sz w:val="24"/>
          <w:szCs w:val="24"/>
        </w:rPr>
        <w:t>Participating in State Water Resources Control Board (SWRCB) proceedings to protect the interests of District water rights holders;</w:t>
      </w:r>
    </w:p>
    <w:p w14:paraId="7C8366EB" w14:textId="77777777" w:rsidR="001E2001" w:rsidRDefault="001E2001" w:rsidP="001E2001">
      <w:pPr>
        <w:pStyle w:val="ListParagraph"/>
        <w:numPr>
          <w:ilvl w:val="0"/>
          <w:numId w:val="1"/>
        </w:numPr>
      </w:pPr>
      <w:r>
        <w:rPr>
          <w:rFonts w:ascii="Arial" w:hAnsi="Arial" w:cs="Arial"/>
          <w:sz w:val="24"/>
          <w:szCs w:val="24"/>
        </w:rPr>
        <w:t>Reviewing water rights applications and related administrative or legal matters that may affect the San Luis Rey River, particularly the Bonsall and Pala hydrologic subareas;</w:t>
      </w:r>
    </w:p>
    <w:p w14:paraId="581031CB" w14:textId="77777777" w:rsidR="001E2001" w:rsidRDefault="001E2001" w:rsidP="001E2001">
      <w:pPr>
        <w:pStyle w:val="ListParagraph"/>
        <w:numPr>
          <w:ilvl w:val="0"/>
          <w:numId w:val="1"/>
        </w:numPr>
      </w:pPr>
      <w:r>
        <w:rPr>
          <w:rFonts w:ascii="Arial" w:hAnsi="Arial" w:cs="Arial"/>
          <w:sz w:val="24"/>
          <w:szCs w:val="24"/>
        </w:rPr>
        <w:t>Encouraging landowners to accurately document water production and use and to file Statements of Water Diversion and Use with the SWRCB;</w:t>
      </w:r>
    </w:p>
    <w:p w14:paraId="00530C4C" w14:textId="77777777" w:rsidR="001E2001" w:rsidRDefault="001E2001" w:rsidP="001E2001">
      <w:pPr>
        <w:pStyle w:val="ListParagraph"/>
        <w:numPr>
          <w:ilvl w:val="0"/>
          <w:numId w:val="1"/>
        </w:numPr>
      </w:pPr>
      <w:r>
        <w:rPr>
          <w:rFonts w:ascii="Arial" w:hAnsi="Arial" w:cs="Arial"/>
          <w:sz w:val="24"/>
          <w:szCs w:val="24"/>
        </w:rPr>
        <w:t>Observing activities related to the San Luis Rey River Indian Water Rights Settlement;</w:t>
      </w:r>
    </w:p>
    <w:p w14:paraId="0D0B6108" w14:textId="77777777" w:rsidR="001E2001" w:rsidRDefault="001E2001" w:rsidP="001E2001">
      <w:pPr>
        <w:pStyle w:val="ListParagraph"/>
        <w:numPr>
          <w:ilvl w:val="0"/>
          <w:numId w:val="1"/>
        </w:numPr>
      </w:pPr>
      <w:r>
        <w:rPr>
          <w:rFonts w:ascii="Arial" w:hAnsi="Arial" w:cs="Arial"/>
          <w:sz w:val="24"/>
          <w:szCs w:val="24"/>
        </w:rPr>
        <w:lastRenderedPageBreak/>
        <w:t>Monitoring San Diego County Water Authority activities, including groundwater resources development planning;</w:t>
      </w:r>
    </w:p>
    <w:p w14:paraId="089623D6" w14:textId="77777777" w:rsidR="001E2001" w:rsidRDefault="001E2001" w:rsidP="001E2001">
      <w:pPr>
        <w:pStyle w:val="ListParagraph"/>
        <w:numPr>
          <w:ilvl w:val="0"/>
          <w:numId w:val="1"/>
        </w:numPr>
      </w:pPr>
      <w:r>
        <w:rPr>
          <w:rFonts w:ascii="Arial" w:hAnsi="Arial" w:cs="Arial"/>
          <w:sz w:val="24"/>
          <w:szCs w:val="24"/>
        </w:rPr>
        <w:t>Participating in the Upper San Luis Rey Groundwater Management Authority’s implementation of the Groundwater Sustainability Plan for the Upper San Luis Rey River Groundwater Basin;</w:t>
      </w:r>
    </w:p>
    <w:p w14:paraId="02E985E1" w14:textId="77777777" w:rsidR="001E2001" w:rsidRDefault="001E2001" w:rsidP="001E2001">
      <w:pPr>
        <w:pStyle w:val="ListParagraph"/>
        <w:numPr>
          <w:ilvl w:val="0"/>
          <w:numId w:val="1"/>
        </w:numPr>
      </w:pPr>
      <w:r>
        <w:rPr>
          <w:rFonts w:ascii="Arial" w:hAnsi="Arial" w:cs="Arial"/>
          <w:sz w:val="24"/>
          <w:szCs w:val="24"/>
        </w:rPr>
        <w:t>Monitoring federal and State environmental agency proceedings, as well as environmental advocacy activities, that could restrict water production, water use, or water management facilities;</w:t>
      </w:r>
    </w:p>
    <w:p w14:paraId="53C1B559" w14:textId="77777777" w:rsidR="001E2001" w:rsidRDefault="001E2001" w:rsidP="001E2001">
      <w:pPr>
        <w:pStyle w:val="ListParagraph"/>
        <w:numPr>
          <w:ilvl w:val="0"/>
          <w:numId w:val="1"/>
        </w:numPr>
      </w:pPr>
      <w:r>
        <w:rPr>
          <w:rFonts w:ascii="Arial" w:hAnsi="Arial" w:cs="Arial"/>
          <w:sz w:val="24"/>
          <w:szCs w:val="24"/>
        </w:rPr>
        <w:t>Monitoring local government proceedings and private landowner initiatives where proposed land uses within or adjacent to the District may affect water quality or quantity; and</w:t>
      </w:r>
    </w:p>
    <w:p w14:paraId="4956FB81" w14:textId="77777777" w:rsidR="001E2001" w:rsidRDefault="001E2001" w:rsidP="001E2001">
      <w:pPr>
        <w:pStyle w:val="ListParagraph"/>
        <w:numPr>
          <w:ilvl w:val="0"/>
          <w:numId w:val="1"/>
        </w:numPr>
      </w:pPr>
      <w:r>
        <w:rPr>
          <w:rFonts w:ascii="Arial" w:hAnsi="Arial" w:cs="Arial"/>
          <w:sz w:val="24"/>
          <w:szCs w:val="24"/>
        </w:rPr>
        <w:t>Collecting surface water and groundwater samples within the District for analysis by a State-certified laboratory, thereby extending baseline water-quality data for the District’s hydraulic subareas.</w:t>
      </w:r>
    </w:p>
    <w:p w14:paraId="16B01218" w14:textId="77777777" w:rsidR="00614087" w:rsidRPr="00B14169" w:rsidRDefault="00614087">
      <w:pPr>
        <w:spacing w:before="240"/>
        <w:jc w:val="both"/>
        <w:rPr>
          <w:rFonts w:ascii="Arial" w:hAnsi="Arial" w:cs="Arial"/>
          <w:sz w:val="24"/>
          <w:szCs w:val="24"/>
        </w:rPr>
      </w:pPr>
      <w:r>
        <w:rPr>
          <w:rFonts w:ascii="Arial" w:hAnsi="Arial" w:cs="Arial"/>
          <w:b/>
          <w:bCs/>
          <w:sz w:val="24"/>
          <w:szCs w:val="24"/>
        </w:rPr>
        <w:t>Governance and Administration</w:t>
      </w:r>
    </w:p>
    <w:p w14:paraId="3EEBE97B" w14:textId="77777777" w:rsidR="001E2001" w:rsidRDefault="001E2001">
      <w:pPr>
        <w:spacing w:before="240"/>
        <w:jc w:val="both"/>
      </w:pPr>
      <w:r>
        <w:rPr>
          <w:rFonts w:ascii="Arial" w:hAnsi="Arial" w:cs="Arial"/>
          <w:sz w:val="24"/>
          <w:szCs w:val="24"/>
        </w:rPr>
        <w:t>The District carries out these activities through the active involvement of its Board of Directors. Each Director is elected by division, as required by the Water Code, and serves without compensation on behalf of District landowners.</w:t>
      </w:r>
    </w:p>
    <w:p w14:paraId="1D4DDE77" w14:textId="77777777" w:rsidR="001E2001" w:rsidRDefault="001E2001">
      <w:pPr>
        <w:spacing w:before="240"/>
        <w:jc w:val="both"/>
      </w:pPr>
      <w:r>
        <w:rPr>
          <w:rFonts w:ascii="Arial" w:hAnsi="Arial" w:cs="Arial"/>
          <w:sz w:val="24"/>
          <w:szCs w:val="24"/>
        </w:rPr>
        <w:t>When formal action is needed, the Board engages qualified professionals, including attorneys, engineers, and certified public accountants, to act on the District’s behalf. The District also follows professional administrative practices by adopting an annual budget, retaining an independent auditor, complying with Brown Act public-noticing requirements for regular monthly meetings, and maintaining District records at its office or at the office of its legal counsel.</w:t>
      </w:r>
    </w:p>
    <w:p w14:paraId="634ABBCC" w14:textId="77777777" w:rsidR="00865EED" w:rsidRDefault="00865EED">
      <w:pPr>
        <w:rPr>
          <w:rFonts w:ascii="Arial" w:hAnsi="Arial" w:cs="Arial"/>
          <w:sz w:val="24"/>
          <w:szCs w:val="24"/>
        </w:rPr>
      </w:pPr>
    </w:p>
    <w:p w14:paraId="3BE78C9B" w14:textId="77777777" w:rsidR="001715BC" w:rsidRDefault="001715BC">
      <w:pPr>
        <w:spacing w:before="240"/>
        <w:jc w:val="both"/>
      </w:pPr>
      <w:r w:rsidRPr="00E943E5">
        <w:rPr>
          <w:rFonts w:ascii="Arial" w:hAnsi="Arial" w:cs="Arial"/>
          <w:sz w:val="28"/>
          <w:szCs w:val="28"/>
          <w:u w:val="single"/>
        </w:rPr>
        <w:t>Recent Events</w:t>
      </w:r>
    </w:p>
    <w:p w14:paraId="0C943425" w14:textId="77777777" w:rsidR="001715BC" w:rsidRDefault="001715BC">
      <w:pPr>
        <w:spacing w:before="240"/>
        <w:jc w:val="both"/>
      </w:pPr>
      <w:r>
        <w:rPr>
          <w:rFonts w:ascii="Arial" w:hAnsi="Arial" w:cs="Arial"/>
          <w:b/>
          <w:bCs/>
          <w:sz w:val="24"/>
          <w:szCs w:val="24"/>
        </w:rPr>
        <w:t>Changes in District Boundaries and Land Ownership</w:t>
      </w:r>
    </w:p>
    <w:p w14:paraId="344CE3A1" w14:textId="77777777" w:rsidR="001715BC" w:rsidRDefault="001715BC">
      <w:pPr>
        <w:spacing w:before="240"/>
        <w:jc w:val="both"/>
        <w:rPr>
          <w:kern w:val="2"/>
          <w14:ligatures w14:val="standardContextual"/>
        </w:rPr>
      </w:pPr>
      <w:r>
        <w:rPr>
          <w:rFonts w:ascii="Arial" w:hAnsi="Arial" w:cs="Arial"/>
          <w:sz w:val="24"/>
          <w:szCs w:val="24"/>
        </w:rPr>
        <w:t>Because the District does not own or operate facilities that provide direct water service, several properties have reorganized into neighboring retail water agencies in recent years. These reorganizations have generally occurred as properties changed ownership and were rezoned from agricultural use to more intensive uses, including suburban residential, institutional, and light commercial development.</w:t>
      </w:r>
    </w:p>
    <w:p w14:paraId="4CD74690" w14:textId="44C21F7A" w:rsidR="001715BC" w:rsidRDefault="001715BC">
      <w:pPr>
        <w:spacing w:before="240"/>
        <w:jc w:val="both"/>
        <w:rPr>
          <w:kern w:val="2"/>
          <w14:ligatures w14:val="standardContextual"/>
        </w:rPr>
      </w:pPr>
      <w:r>
        <w:rPr>
          <w:rFonts w:ascii="Arial" w:hAnsi="Arial" w:cs="Arial"/>
          <w:sz w:val="24"/>
          <w:szCs w:val="24"/>
        </w:rPr>
        <w:t>In addition, the Pala Band has acquired, by purchase, well over 40 percent of the land within the District, a</w:t>
      </w:r>
      <w:r w:rsidR="005554D1">
        <w:rPr>
          <w:rFonts w:ascii="Arial" w:hAnsi="Arial" w:cs="Arial"/>
          <w:sz w:val="24"/>
          <w:szCs w:val="24"/>
        </w:rPr>
        <w:t>bout</w:t>
      </w:r>
      <w:r>
        <w:rPr>
          <w:rFonts w:ascii="Arial" w:hAnsi="Arial" w:cs="Arial"/>
          <w:sz w:val="24"/>
          <w:szCs w:val="24"/>
        </w:rPr>
        <w:t xml:space="preserve"> 1,000 acres. More than 700 acres have been transferred into </w:t>
      </w:r>
      <w:r>
        <w:rPr>
          <w:rFonts w:ascii="Arial" w:hAnsi="Arial" w:cs="Arial"/>
          <w:sz w:val="24"/>
          <w:szCs w:val="24"/>
        </w:rPr>
        <w:lastRenderedPageBreak/>
        <w:t>Tribal trust, and approximately 350 additional acres are in various stages of acquisition and trust-transfer processing.</w:t>
      </w:r>
    </w:p>
    <w:p w14:paraId="09E9C946" w14:textId="77777777" w:rsidR="001715BC" w:rsidRDefault="001715BC">
      <w:pPr>
        <w:spacing w:before="240"/>
        <w:jc w:val="both"/>
      </w:pPr>
      <w:r>
        <w:rPr>
          <w:rFonts w:ascii="Arial" w:hAnsi="Arial" w:cs="Arial"/>
          <w:b/>
          <w:bCs/>
          <w:sz w:val="24"/>
          <w:szCs w:val="24"/>
        </w:rPr>
        <w:t>Revenue Decline and Reserve Impacts</w:t>
      </w:r>
    </w:p>
    <w:p w14:paraId="4A5ECAE2" w14:textId="0E945391" w:rsidR="001715BC" w:rsidRDefault="001715BC">
      <w:pPr>
        <w:spacing w:before="240"/>
        <w:jc w:val="both"/>
        <w:rPr>
          <w:kern w:val="2"/>
          <w14:ligatures w14:val="standardContextual"/>
        </w:rPr>
      </w:pPr>
      <w:r>
        <w:rPr>
          <w:rFonts w:ascii="Arial" w:hAnsi="Arial" w:cs="Arial"/>
          <w:sz w:val="24"/>
          <w:szCs w:val="24"/>
        </w:rPr>
        <w:t>These changes have had a significant fiscal effect. Revenue from Water Availability Charges and property taxes declined by 48 percent, from $77,000 in FY 2016–17 to $3</w:t>
      </w:r>
      <w:r w:rsidR="003F0EA9">
        <w:rPr>
          <w:rFonts w:ascii="Arial" w:hAnsi="Arial" w:cs="Arial"/>
          <w:sz w:val="24"/>
          <w:szCs w:val="24"/>
        </w:rPr>
        <w:t>5</w:t>
      </w:r>
      <w:r>
        <w:rPr>
          <w:rFonts w:ascii="Arial" w:hAnsi="Arial" w:cs="Arial"/>
          <w:sz w:val="24"/>
          <w:szCs w:val="24"/>
        </w:rPr>
        <w:t>,700 in FY 2024–25. Further decreases are expected as additional property is removed from the District, either through de-annexation to adjacent districts for development or through transfer to the Federal Government to be held in trust for the Pala Band.</w:t>
      </w:r>
    </w:p>
    <w:p w14:paraId="7D4389C8" w14:textId="52CCED7D" w:rsidR="001715BC" w:rsidRDefault="001715BC">
      <w:pPr>
        <w:spacing w:before="240"/>
        <w:jc w:val="both"/>
      </w:pPr>
      <w:r w:rsidRPr="008762D6">
        <w:rPr>
          <w:rFonts w:ascii="Arial" w:hAnsi="Arial" w:cs="Arial"/>
          <w:sz w:val="24"/>
          <w:szCs w:val="24"/>
        </w:rPr>
        <w:t xml:space="preserve">The District’s forecasted operating budget expenses, </w:t>
      </w:r>
      <w:r>
        <w:rPr>
          <w:rFonts w:ascii="Arial" w:hAnsi="Arial" w:cs="Arial"/>
          <w:sz w:val="24"/>
          <w:szCs w:val="24"/>
        </w:rPr>
        <w:t>including</w:t>
      </w:r>
      <w:r w:rsidRPr="008762D6">
        <w:rPr>
          <w:rFonts w:ascii="Arial" w:hAnsi="Arial" w:cs="Arial"/>
          <w:sz w:val="24"/>
          <w:szCs w:val="24"/>
        </w:rPr>
        <w:t xml:space="preserve"> required activities to comply with state law, were originally projected </w:t>
      </w:r>
      <w:r>
        <w:rPr>
          <w:rFonts w:ascii="Arial" w:hAnsi="Arial" w:cs="Arial"/>
          <w:sz w:val="24"/>
          <w:szCs w:val="24"/>
        </w:rPr>
        <w:t>at</w:t>
      </w:r>
      <w:r w:rsidRPr="008762D6">
        <w:rPr>
          <w:rFonts w:ascii="Arial" w:hAnsi="Arial" w:cs="Arial"/>
          <w:sz w:val="24"/>
          <w:szCs w:val="24"/>
        </w:rPr>
        <w:t xml:space="preserve"> $54,000 </w:t>
      </w:r>
      <w:r>
        <w:rPr>
          <w:rFonts w:ascii="Arial" w:hAnsi="Arial" w:cs="Arial"/>
          <w:sz w:val="24"/>
          <w:szCs w:val="24"/>
        </w:rPr>
        <w:t>for</w:t>
      </w:r>
      <w:r w:rsidRPr="008762D6">
        <w:rPr>
          <w:rFonts w:ascii="Arial" w:hAnsi="Arial" w:cs="Arial"/>
          <w:sz w:val="24"/>
          <w:szCs w:val="24"/>
        </w:rPr>
        <w:t xml:space="preserve"> FY 2023</w:t>
      </w:r>
      <w:r>
        <w:rPr>
          <w:rFonts w:ascii="Arial" w:hAnsi="Arial" w:cs="Arial"/>
          <w:sz w:val="24"/>
          <w:szCs w:val="24"/>
        </w:rPr>
        <w:t>–24</w:t>
      </w:r>
      <w:r w:rsidRPr="008762D6">
        <w:rPr>
          <w:rFonts w:ascii="Arial" w:hAnsi="Arial" w:cs="Arial"/>
          <w:sz w:val="24"/>
          <w:szCs w:val="24"/>
        </w:rPr>
        <w:t xml:space="preserve"> and $58,300 </w:t>
      </w:r>
      <w:r>
        <w:rPr>
          <w:rFonts w:ascii="Arial" w:hAnsi="Arial" w:cs="Arial"/>
          <w:sz w:val="24"/>
          <w:szCs w:val="24"/>
        </w:rPr>
        <w:t>for</w:t>
      </w:r>
      <w:r w:rsidRPr="008762D6">
        <w:rPr>
          <w:rFonts w:ascii="Arial" w:hAnsi="Arial" w:cs="Arial"/>
          <w:sz w:val="24"/>
          <w:szCs w:val="24"/>
        </w:rPr>
        <w:t xml:space="preserve"> FY 2024</w:t>
      </w:r>
      <w:r>
        <w:rPr>
          <w:rFonts w:ascii="Arial" w:hAnsi="Arial" w:cs="Arial"/>
          <w:sz w:val="24"/>
          <w:szCs w:val="24"/>
        </w:rPr>
        <w:t>–</w:t>
      </w:r>
      <w:r w:rsidRPr="008762D6">
        <w:rPr>
          <w:rFonts w:ascii="Arial" w:hAnsi="Arial" w:cs="Arial"/>
          <w:sz w:val="24"/>
          <w:szCs w:val="24"/>
        </w:rPr>
        <w:t>25</w:t>
      </w:r>
      <w:r>
        <w:rPr>
          <w:rFonts w:ascii="Arial" w:hAnsi="Arial" w:cs="Arial"/>
          <w:sz w:val="24"/>
          <w:szCs w:val="24"/>
        </w:rPr>
        <w:t xml:space="preserve">. Actual revenues were $39,800 for FY 2023–24 and $39,700 for FY 2024–25. As of June 30, 2025, the </w:t>
      </w:r>
      <w:r w:rsidRPr="001D1E75">
        <w:rPr>
          <w:rFonts w:ascii="Arial" w:hAnsi="Arial" w:cs="Arial"/>
          <w:sz w:val="24"/>
          <w:szCs w:val="24"/>
        </w:rPr>
        <w:t xml:space="preserve">District’s reserve balance </w:t>
      </w:r>
      <w:r>
        <w:rPr>
          <w:rFonts w:ascii="Arial" w:hAnsi="Arial" w:cs="Arial"/>
          <w:sz w:val="24"/>
          <w:szCs w:val="24"/>
        </w:rPr>
        <w:t>was</w:t>
      </w:r>
      <w:r w:rsidRPr="001D1E75">
        <w:rPr>
          <w:rFonts w:ascii="Arial" w:hAnsi="Arial" w:cs="Arial"/>
          <w:sz w:val="24"/>
          <w:szCs w:val="24"/>
        </w:rPr>
        <w:t xml:space="preserve"> $90,891</w:t>
      </w:r>
      <w:r>
        <w:rPr>
          <w:rFonts w:ascii="Arial" w:hAnsi="Arial" w:cs="Arial"/>
          <w:sz w:val="24"/>
          <w:szCs w:val="24"/>
        </w:rPr>
        <w:t>,</w:t>
      </w:r>
      <w:r w:rsidRPr="001D1E75">
        <w:rPr>
          <w:rFonts w:ascii="Arial" w:hAnsi="Arial" w:cs="Arial"/>
          <w:sz w:val="24"/>
          <w:szCs w:val="24"/>
        </w:rPr>
        <w:t xml:space="preserve"> a 47</w:t>
      </w:r>
      <w:r>
        <w:rPr>
          <w:rFonts w:ascii="Arial" w:hAnsi="Arial" w:cs="Arial"/>
          <w:sz w:val="24"/>
          <w:szCs w:val="24"/>
        </w:rPr>
        <w:t xml:space="preserve"> percent</w:t>
      </w:r>
      <w:r w:rsidRPr="001D1E75">
        <w:rPr>
          <w:rFonts w:ascii="Arial" w:hAnsi="Arial" w:cs="Arial"/>
          <w:sz w:val="24"/>
          <w:szCs w:val="24"/>
        </w:rPr>
        <w:t xml:space="preserve"> reduction from </w:t>
      </w:r>
      <w:r>
        <w:rPr>
          <w:rFonts w:ascii="Arial" w:hAnsi="Arial" w:cs="Arial"/>
          <w:sz w:val="24"/>
          <w:szCs w:val="24"/>
        </w:rPr>
        <w:t xml:space="preserve">the </w:t>
      </w:r>
      <w:r w:rsidRPr="001D1E75">
        <w:rPr>
          <w:rFonts w:ascii="Arial" w:hAnsi="Arial" w:cs="Arial"/>
          <w:sz w:val="24"/>
          <w:szCs w:val="24"/>
        </w:rPr>
        <w:t xml:space="preserve">June 30, </w:t>
      </w:r>
      <w:r w:rsidR="00A472A6" w:rsidRPr="001D1E75">
        <w:rPr>
          <w:rFonts w:ascii="Arial" w:hAnsi="Arial" w:cs="Arial"/>
          <w:sz w:val="24"/>
          <w:szCs w:val="24"/>
        </w:rPr>
        <w:t>2021,</w:t>
      </w:r>
      <w:r w:rsidRPr="001D1E75">
        <w:rPr>
          <w:rFonts w:ascii="Arial" w:hAnsi="Arial" w:cs="Arial"/>
          <w:sz w:val="24"/>
          <w:szCs w:val="24"/>
        </w:rPr>
        <w:t xml:space="preserve"> reserve balance of $173,000. </w:t>
      </w:r>
      <w:r>
        <w:rPr>
          <w:rFonts w:ascii="Arial" w:hAnsi="Arial" w:cs="Arial"/>
          <w:sz w:val="24"/>
          <w:szCs w:val="24"/>
        </w:rPr>
        <w:t>No</w:t>
      </w:r>
      <w:r w:rsidRPr="001D1E75">
        <w:rPr>
          <w:rFonts w:ascii="Arial" w:hAnsi="Arial" w:cs="Arial"/>
          <w:sz w:val="24"/>
          <w:szCs w:val="24"/>
        </w:rPr>
        <w:t xml:space="preserve"> pending de-annexation charges </w:t>
      </w:r>
      <w:r>
        <w:rPr>
          <w:rFonts w:ascii="Arial" w:hAnsi="Arial" w:cs="Arial"/>
          <w:sz w:val="24"/>
          <w:szCs w:val="24"/>
        </w:rPr>
        <w:t>are available to provide a</w:t>
      </w:r>
      <w:r w:rsidRPr="001D1E75">
        <w:rPr>
          <w:rFonts w:ascii="Arial" w:hAnsi="Arial" w:cs="Arial"/>
          <w:sz w:val="24"/>
          <w:szCs w:val="24"/>
        </w:rPr>
        <w:t xml:space="preserve"> one-time supplement </w:t>
      </w:r>
      <w:r>
        <w:rPr>
          <w:rFonts w:ascii="Arial" w:hAnsi="Arial" w:cs="Arial"/>
          <w:sz w:val="24"/>
          <w:szCs w:val="24"/>
        </w:rPr>
        <w:t xml:space="preserve">to </w:t>
      </w:r>
      <w:r w:rsidRPr="001D1E75">
        <w:rPr>
          <w:rFonts w:ascii="Arial" w:hAnsi="Arial" w:cs="Arial"/>
          <w:sz w:val="24"/>
          <w:szCs w:val="24"/>
        </w:rPr>
        <w:t>annual revenue.</w:t>
      </w:r>
    </w:p>
    <w:p w14:paraId="5DAF838B" w14:textId="77777777" w:rsidR="001715BC" w:rsidRDefault="001715BC">
      <w:pPr>
        <w:spacing w:before="240"/>
        <w:jc w:val="both"/>
      </w:pPr>
      <w:r>
        <w:rPr>
          <w:rFonts w:ascii="Arial" w:hAnsi="Arial" w:cs="Arial"/>
          <w:b/>
          <w:bCs/>
          <w:sz w:val="24"/>
          <w:szCs w:val="24"/>
        </w:rPr>
        <w:t>Regulatory Uncertainty Under AB 1944 and SGMA</w:t>
      </w:r>
    </w:p>
    <w:p w14:paraId="140337E9" w14:textId="77777777" w:rsidR="001715BC" w:rsidRDefault="001715BC">
      <w:pPr>
        <w:spacing w:before="240"/>
        <w:jc w:val="both"/>
        <w:rPr>
          <w:kern w:val="2"/>
          <w14:ligatures w14:val="standardContextual"/>
        </w:rPr>
      </w:pPr>
      <w:r>
        <w:rPr>
          <w:rFonts w:ascii="Arial" w:hAnsi="Arial" w:cs="Arial"/>
          <w:sz w:val="24"/>
          <w:szCs w:val="24"/>
        </w:rPr>
        <w:t>The District has also entered a period of uncertainty associated with AB 1944. This 2018 legislation changed the characterization of water in the San Luis Rey River Valley Basin between Frey Creek and the San Bernardino Base and Meridian Township line 2/3W—essentially the Pala sub-basin—from water flowing in known and definite channels, or stream diversion, to percolating groundwater subject to the Sustainable Groundwater Management Act (SGMA).</w:t>
      </w:r>
    </w:p>
    <w:p w14:paraId="720AFEC6" w14:textId="77777777" w:rsidR="001715BC" w:rsidRDefault="001715BC">
      <w:pPr>
        <w:spacing w:before="240"/>
        <w:jc w:val="both"/>
        <w:rPr>
          <w:kern w:val="2"/>
          <w14:ligatures w14:val="standardContextual"/>
        </w:rPr>
      </w:pPr>
      <w:r>
        <w:rPr>
          <w:rFonts w:ascii="Arial" w:hAnsi="Arial" w:cs="Arial"/>
          <w:sz w:val="24"/>
          <w:szCs w:val="24"/>
        </w:rPr>
        <w:t>Although AB 1944 includes language intended to protect existing pre-1914 water rights diverters, the ultimate effect on District landowners remains unclear. Continued District participation may be necessary to support landowner interests, including potential legal assistance. Without additional revenue, the District’s financial resources are likely to be inadequate over the next five years.</w:t>
      </w:r>
    </w:p>
    <w:p w14:paraId="2DECAADA" w14:textId="77777777" w:rsidR="001715BC" w:rsidRDefault="001715BC">
      <w:pPr>
        <w:spacing w:before="240"/>
        <w:jc w:val="both"/>
      </w:pPr>
      <w:r>
        <w:rPr>
          <w:rFonts w:ascii="Arial" w:hAnsi="Arial" w:cs="Arial"/>
          <w:b/>
          <w:bCs/>
          <w:sz w:val="24"/>
          <w:szCs w:val="24"/>
        </w:rPr>
        <w:t>Need for Continued Assessment Revenue</w:t>
      </w:r>
    </w:p>
    <w:p w14:paraId="0560F0AD" w14:textId="77777777" w:rsidR="001715BC" w:rsidRDefault="001715BC">
      <w:pPr>
        <w:spacing w:before="240"/>
        <w:jc w:val="both"/>
        <w:rPr>
          <w:kern w:val="2"/>
          <w14:ligatures w14:val="standardContextual"/>
        </w:rPr>
      </w:pPr>
      <w:r>
        <w:rPr>
          <w:rFonts w:ascii="Arial" w:hAnsi="Arial" w:cs="Arial"/>
          <w:sz w:val="24"/>
          <w:szCs w:val="24"/>
        </w:rPr>
        <w:t>Based on projected expenses and the current area subject to Water Availability Charges, approximately 1,770 acres, the District would need to impose an annual assessment of $25 per acre, or portion of an acre, to maintain sufficient revenue and resources. The maximum amount allowable under current law is $30 per acre, or portion of an acre.</w:t>
      </w:r>
    </w:p>
    <w:p w14:paraId="4F43EBAC" w14:textId="77777777" w:rsidR="001715BC" w:rsidRDefault="001715BC">
      <w:pPr>
        <w:spacing w:before="240"/>
        <w:jc w:val="both"/>
        <w:rPr>
          <w:kern w:val="2"/>
          <w14:ligatures w14:val="standardContextual"/>
        </w:rPr>
      </w:pPr>
      <w:r>
        <w:rPr>
          <w:rFonts w:ascii="Arial" w:hAnsi="Arial" w:cs="Arial"/>
          <w:sz w:val="24"/>
          <w:szCs w:val="24"/>
        </w:rPr>
        <w:lastRenderedPageBreak/>
        <w:t>This assessment would support the District’s ability to address potential challenges to landowner pre-1914 water rights associated with SGMA, the Upper San Luis Rey Groundwater Management Authority’s implementation of the Groundwater Sustainability Plan, and the District’s ongoing monitoring of federal, state, and local regulatory actions that could adversely affect landowner water rights.</w:t>
      </w:r>
    </w:p>
    <w:p w14:paraId="26AC93A9" w14:textId="77777777" w:rsidR="00BB58EE" w:rsidRPr="00B14169" w:rsidRDefault="00BB58EE">
      <w:pPr>
        <w:spacing w:before="240"/>
        <w:jc w:val="both"/>
        <w:rPr>
          <w:rFonts w:ascii="Arial" w:hAnsi="Arial" w:cs="Arial"/>
          <w:sz w:val="24"/>
          <w:szCs w:val="24"/>
        </w:rPr>
      </w:pPr>
      <w:r w:rsidRPr="00520669">
        <w:rPr>
          <w:rFonts w:ascii="Arial" w:hAnsi="Arial" w:cs="Arial"/>
          <w:sz w:val="28"/>
          <w:szCs w:val="28"/>
          <w:u w:val="single"/>
        </w:rPr>
        <w:t>Benefits Provided by the District</w:t>
      </w:r>
    </w:p>
    <w:p w14:paraId="17FB3F4E" w14:textId="77777777" w:rsidR="00BB58EE" w:rsidRDefault="00BB58EE">
      <w:pPr>
        <w:spacing w:before="240"/>
        <w:jc w:val="both"/>
        <w:divId w:val="933634458"/>
        <w:rPr>
          <w:kern w:val="2"/>
          <w14:ligatures w14:val="standardContextual"/>
        </w:rPr>
      </w:pPr>
      <w:r>
        <w:rPr>
          <w:rFonts w:ascii="Arial" w:hAnsi="Arial" w:cs="Arial"/>
          <w:b/>
          <w:bCs/>
          <w:sz w:val="24"/>
          <w:szCs w:val="24"/>
        </w:rPr>
        <w:t>General and Special Benefits Under Proposition 218</w:t>
      </w:r>
    </w:p>
    <w:p w14:paraId="1CB849BD" w14:textId="77777777" w:rsidR="00BB58EE" w:rsidRDefault="00BB58EE">
      <w:pPr>
        <w:spacing w:before="240"/>
        <w:jc w:val="both"/>
        <w:divId w:val="933634458"/>
      </w:pPr>
      <w:r>
        <w:rPr>
          <w:rFonts w:ascii="Arial" w:hAnsi="Arial" w:cs="Arial"/>
          <w:sz w:val="24"/>
          <w:szCs w:val="24"/>
        </w:rPr>
        <w:t>Proposition 218, codified in Article XIII D of the California Constitution, distinguishes between general and special benefits provided by a project or service:</w:t>
      </w:r>
    </w:p>
    <w:p w14:paraId="64F18630" w14:textId="00AD42B1" w:rsidR="00BB58EE" w:rsidRDefault="00BB58EE" w:rsidP="00BB58EE">
      <w:pPr>
        <w:pStyle w:val="ListParagraph"/>
        <w:numPr>
          <w:ilvl w:val="0"/>
          <w:numId w:val="3"/>
        </w:numPr>
        <w:contextualSpacing w:val="0"/>
        <w:divId w:val="933634458"/>
      </w:pPr>
      <w:r>
        <w:rPr>
          <w:rFonts w:ascii="Arial" w:hAnsi="Arial" w:cs="Arial"/>
          <w:b/>
          <w:bCs/>
          <w:sz w:val="24"/>
          <w:szCs w:val="24"/>
        </w:rPr>
        <w:t>General benefits</w:t>
      </w:r>
      <w:r>
        <w:rPr>
          <w:rFonts w:ascii="Arial" w:hAnsi="Arial" w:cs="Arial"/>
          <w:sz w:val="24"/>
          <w:szCs w:val="24"/>
        </w:rPr>
        <w:t xml:space="preserve"> are benefits provided to the public at large, such as ambulance </w:t>
      </w:r>
      <w:r w:rsidR="00BC2D1C">
        <w:rPr>
          <w:rFonts w:ascii="Arial" w:hAnsi="Arial" w:cs="Arial"/>
          <w:sz w:val="24"/>
          <w:szCs w:val="24"/>
        </w:rPr>
        <w:t>services</w:t>
      </w:r>
      <w:r>
        <w:rPr>
          <w:rFonts w:ascii="Arial" w:hAnsi="Arial" w:cs="Arial"/>
          <w:sz w:val="24"/>
          <w:szCs w:val="24"/>
        </w:rPr>
        <w:t>, libraries, police stations, or business improvements.</w:t>
      </w:r>
    </w:p>
    <w:p w14:paraId="20B5D7ED" w14:textId="29B20F3B" w:rsidR="00BB58EE" w:rsidRDefault="00BB58EE" w:rsidP="00BB58EE">
      <w:pPr>
        <w:pStyle w:val="ListParagraph"/>
        <w:numPr>
          <w:ilvl w:val="0"/>
          <w:numId w:val="3"/>
        </w:numPr>
        <w:contextualSpacing w:val="0"/>
        <w:divId w:val="933634458"/>
      </w:pPr>
      <w:r>
        <w:rPr>
          <w:rFonts w:ascii="Arial" w:hAnsi="Arial" w:cs="Arial"/>
          <w:b/>
          <w:bCs/>
          <w:sz w:val="24"/>
          <w:szCs w:val="24"/>
        </w:rPr>
        <w:t>Special benefits</w:t>
      </w:r>
      <w:r>
        <w:rPr>
          <w:rFonts w:ascii="Arial" w:hAnsi="Arial" w:cs="Arial"/>
          <w:sz w:val="24"/>
          <w:szCs w:val="24"/>
        </w:rPr>
        <w:t xml:space="preserve"> are </w:t>
      </w:r>
      <w:r w:rsidR="00BC2D1C">
        <w:rPr>
          <w:rFonts w:ascii="Arial" w:hAnsi="Arial" w:cs="Arial"/>
          <w:sz w:val="24"/>
          <w:szCs w:val="24"/>
        </w:rPr>
        <w:t>benefits</w:t>
      </w:r>
      <w:r>
        <w:rPr>
          <w:rFonts w:ascii="Arial" w:hAnsi="Arial" w:cs="Arial"/>
          <w:sz w:val="24"/>
          <w:szCs w:val="24"/>
        </w:rPr>
        <w:t xml:space="preserve"> conferred on land and buildings.</w:t>
      </w:r>
    </w:p>
    <w:p w14:paraId="7B295591" w14:textId="77777777" w:rsidR="00BB58EE" w:rsidRDefault="00BB58EE">
      <w:pPr>
        <w:spacing w:before="240"/>
        <w:jc w:val="both"/>
        <w:divId w:val="933634458"/>
      </w:pPr>
      <w:r>
        <w:rPr>
          <w:rFonts w:ascii="Arial" w:hAnsi="Arial" w:cs="Arial"/>
          <w:b/>
          <w:bCs/>
          <w:sz w:val="24"/>
          <w:szCs w:val="24"/>
        </w:rPr>
        <w:t>District Services as a Special Benefit</w:t>
      </w:r>
    </w:p>
    <w:p w14:paraId="7BC49DE6" w14:textId="77777777" w:rsidR="00BB58EE" w:rsidRDefault="00BB58EE">
      <w:pPr>
        <w:spacing w:before="240"/>
        <w:jc w:val="both"/>
        <w:divId w:val="933634458"/>
      </w:pPr>
      <w:r>
        <w:rPr>
          <w:rFonts w:ascii="Arial" w:hAnsi="Arial" w:cs="Arial"/>
          <w:sz w:val="24"/>
          <w:szCs w:val="24"/>
        </w:rPr>
        <w:t>SLRMWD’s services provide a special benefit to District landowners because those services are directed toward protecting and advancing landowner rights to the quantity and quality of local water supplies and resources that support agricultural activities. The benefit is specific to the landowners whose properties rely on those local water resources and who hold the rights the District seeks to protect.</w:t>
      </w:r>
    </w:p>
    <w:p w14:paraId="40EA7512" w14:textId="1FD97077" w:rsidR="00BB58EE" w:rsidRDefault="00BB58EE">
      <w:pPr>
        <w:spacing w:before="240"/>
        <w:jc w:val="both"/>
        <w:divId w:val="933634458"/>
      </w:pPr>
      <w:r>
        <w:rPr>
          <w:rFonts w:ascii="Arial" w:hAnsi="Arial" w:cs="Arial"/>
          <w:sz w:val="24"/>
          <w:szCs w:val="24"/>
        </w:rPr>
        <w:t xml:space="preserve">This special benefit is further demonstrated by the fact that the Water Availability Charge assessment is </w:t>
      </w:r>
      <w:r w:rsidR="00800767">
        <w:rPr>
          <w:rFonts w:ascii="Arial" w:hAnsi="Arial" w:cs="Arial"/>
          <w:sz w:val="24"/>
          <w:szCs w:val="24"/>
        </w:rPr>
        <w:t>paid for</w:t>
      </w:r>
      <w:r>
        <w:rPr>
          <w:rFonts w:ascii="Arial" w:hAnsi="Arial" w:cs="Arial"/>
          <w:sz w:val="24"/>
          <w:szCs w:val="24"/>
        </w:rPr>
        <w:t xml:space="preserve"> by the landowners for the District’s services and activities. Because those services are focused on protecting landowner-specific water rights and related interests, they are not general benefits to the public.</w:t>
      </w:r>
    </w:p>
    <w:p w14:paraId="04849F8A" w14:textId="77777777" w:rsidR="00BB58EE" w:rsidRPr="00B14169" w:rsidRDefault="00BB58EE">
      <w:pPr>
        <w:spacing w:before="240"/>
        <w:jc w:val="both"/>
        <w:rPr>
          <w:rFonts w:ascii="Arial" w:hAnsi="Arial" w:cs="Arial"/>
          <w:sz w:val="24"/>
          <w:szCs w:val="24"/>
        </w:rPr>
      </w:pPr>
      <w:r>
        <w:rPr>
          <w:rFonts w:ascii="Arial" w:hAnsi="Arial" w:cs="Arial"/>
          <w:sz w:val="24"/>
          <w:szCs w:val="24"/>
        </w:rPr>
        <w:t xml:space="preserve">Accordingly, under Proposition 218, SLRMWD may assess its </w:t>
      </w:r>
      <w:r w:rsidRPr="00661614">
        <w:rPr>
          <w:rFonts w:ascii="Arial" w:hAnsi="Arial" w:cs="Arial"/>
          <w:i/>
          <w:sz w:val="24"/>
          <w:szCs w:val="24"/>
        </w:rPr>
        <w:t>Water Availability Charge</w:t>
      </w:r>
      <w:r>
        <w:rPr>
          <w:rFonts w:ascii="Arial" w:hAnsi="Arial" w:cs="Arial"/>
          <w:sz w:val="24"/>
          <w:szCs w:val="24"/>
        </w:rPr>
        <w:t xml:space="preserve"> to recover the costs of continuing to provide these historic and ongoing special benefits to landowners within the District and its coterminous Special Water Management District established under AB 3030 on April 17, 1996. The assessment may be imposed up to the maximum amount permitted by California Water Code Section 71631.7: $30 per acre, or portion of an acre, per year; or $30 per parcel of less than one acre per year, provided the charge is supported by expenditure estimates for the year in which it is imposed.</w:t>
      </w:r>
    </w:p>
    <w:p w14:paraId="76C0575A" w14:textId="77777777" w:rsidR="00522A32" w:rsidRDefault="00522A32">
      <w:pPr>
        <w:spacing w:before="240"/>
        <w:jc w:val="both"/>
      </w:pPr>
      <w:r w:rsidRPr="00214E71">
        <w:rPr>
          <w:rFonts w:ascii="Arial" w:hAnsi="Arial" w:cs="Arial"/>
          <w:sz w:val="28"/>
          <w:szCs w:val="28"/>
          <w:u w:val="single"/>
        </w:rPr>
        <w:t>Cost of Services</w:t>
      </w:r>
      <w:r>
        <w:rPr>
          <w:rFonts w:ascii="Arial" w:hAnsi="Arial" w:cs="Arial"/>
          <w:sz w:val="28"/>
          <w:szCs w:val="28"/>
          <w:u w:val="single"/>
        </w:rPr>
        <w:t xml:space="preserve"> and Determination of Assessment</w:t>
      </w:r>
    </w:p>
    <w:p w14:paraId="4A221ED5" w14:textId="77777777" w:rsidR="00522A32" w:rsidRDefault="00522A32">
      <w:pPr>
        <w:spacing w:before="240"/>
        <w:jc w:val="both"/>
      </w:pPr>
      <w:r>
        <w:rPr>
          <w:rFonts w:ascii="Arial" w:hAnsi="Arial" w:cs="Arial"/>
          <w:b/>
          <w:bCs/>
          <w:sz w:val="24"/>
          <w:szCs w:val="24"/>
        </w:rPr>
        <w:t>Historical Funding Sources</w:t>
      </w:r>
    </w:p>
    <w:p w14:paraId="0641575C" w14:textId="27B910C2" w:rsidR="00522A32" w:rsidRDefault="00522A32">
      <w:pPr>
        <w:spacing w:before="240"/>
        <w:jc w:val="both"/>
        <w:rPr>
          <w:kern w:val="2"/>
          <w14:ligatures w14:val="standardContextual"/>
        </w:rPr>
      </w:pPr>
      <w:r>
        <w:rPr>
          <w:rFonts w:ascii="Arial" w:hAnsi="Arial" w:cs="Arial"/>
          <w:sz w:val="24"/>
          <w:szCs w:val="24"/>
        </w:rPr>
        <w:lastRenderedPageBreak/>
        <w:t xml:space="preserve">Historically, SLRMWD has funded its work to protect water rights, water storage rights, and water quality through several revenue sources. These have included the Water Availability Charge authorized under California Water Code Section 71631.7, a portion of the one-percent Proposition 13 tax allotment, reimbursement or </w:t>
      </w:r>
      <w:r w:rsidR="00634A8B">
        <w:rPr>
          <w:rFonts w:ascii="Arial" w:hAnsi="Arial" w:cs="Arial"/>
          <w:sz w:val="24"/>
          <w:szCs w:val="24"/>
        </w:rPr>
        <w:t>refund</w:t>
      </w:r>
      <w:r>
        <w:rPr>
          <w:rFonts w:ascii="Arial" w:hAnsi="Arial" w:cs="Arial"/>
          <w:sz w:val="24"/>
          <w:szCs w:val="24"/>
        </w:rPr>
        <w:t xml:space="preserve"> agreements with parties whose activities could affect District water resources, and occasional one-time payments from properties detaching from the District.</w:t>
      </w:r>
    </w:p>
    <w:p w14:paraId="7D78B8D0" w14:textId="77777777" w:rsidR="00522A32" w:rsidRDefault="00522A32">
      <w:pPr>
        <w:spacing w:before="240"/>
        <w:jc w:val="both"/>
      </w:pPr>
      <w:r>
        <w:rPr>
          <w:rFonts w:ascii="Arial" w:hAnsi="Arial" w:cs="Arial"/>
          <w:b/>
          <w:bCs/>
          <w:sz w:val="24"/>
          <w:szCs w:val="24"/>
        </w:rPr>
        <w:t>Declining Revenue Options</w:t>
      </w:r>
    </w:p>
    <w:p w14:paraId="02C82781" w14:textId="77777777" w:rsidR="00522A32" w:rsidRDefault="00522A32">
      <w:pPr>
        <w:spacing w:before="240"/>
        <w:jc w:val="both"/>
        <w:rPr>
          <w:kern w:val="2"/>
          <w14:ligatures w14:val="standardContextual"/>
        </w:rPr>
      </w:pPr>
      <w:r>
        <w:rPr>
          <w:rFonts w:ascii="Arial" w:hAnsi="Arial" w:cs="Arial"/>
          <w:sz w:val="24"/>
          <w:szCs w:val="24"/>
        </w:rPr>
        <w:t>The District’s share of the one-percent tax allotment has generally ranged from $2,500 to $3,000 per year. Changes in ownership of significant properties have also effectively eliminated ongoing financial participation agreements with property owners for potential water-quality impacts. As a result, the District may be required to pay existing and future professional fees and costs directly from its own resources.</w:t>
      </w:r>
    </w:p>
    <w:p w14:paraId="794114B5" w14:textId="77777777" w:rsidR="00522A32" w:rsidRDefault="00522A32">
      <w:pPr>
        <w:spacing w:before="240"/>
        <w:jc w:val="both"/>
      </w:pPr>
      <w:r>
        <w:rPr>
          <w:rFonts w:ascii="Arial" w:hAnsi="Arial" w:cs="Arial"/>
          <w:b/>
          <w:bCs/>
          <w:sz w:val="24"/>
          <w:szCs w:val="24"/>
        </w:rPr>
        <w:t>Assessment Authority and Revenue Potential</w:t>
      </w:r>
    </w:p>
    <w:p w14:paraId="39A45880" w14:textId="77777777" w:rsidR="00522A32" w:rsidRDefault="00522A32">
      <w:pPr>
        <w:spacing w:before="240"/>
        <w:jc w:val="both"/>
        <w:rPr>
          <w:kern w:val="2"/>
          <w14:ligatures w14:val="standardContextual"/>
        </w:rPr>
      </w:pPr>
      <w:r>
        <w:rPr>
          <w:rFonts w:ascii="Arial" w:hAnsi="Arial" w:cs="Arial"/>
          <w:sz w:val="24"/>
          <w:szCs w:val="24"/>
        </w:rPr>
        <w:t>The Water Availability Charge has been the District’s fiscal foundation. Because of the District’s unique water-management responsibilities, California Water Code Section 71631.7 authorizes SLRMWD to impose the assessment at up to $30 per acre, or portion of an acre, per year based on anticipated expenses for the upcoming fiscal year.</w:t>
      </w:r>
    </w:p>
    <w:p w14:paraId="53D5B5EC" w14:textId="5B5DC547" w:rsidR="00522A32" w:rsidRDefault="00522A32">
      <w:pPr>
        <w:spacing w:before="240"/>
        <w:jc w:val="both"/>
      </w:pPr>
      <w:r>
        <w:rPr>
          <w:rFonts w:ascii="Arial" w:hAnsi="Arial" w:cs="Arial"/>
          <w:sz w:val="24"/>
          <w:szCs w:val="24"/>
        </w:rPr>
        <w:t>Recent detachments and transfers of property to the Federal Government to be held in trust for the Pala Band have reduced the assessable area within the District. Based on San Diego County data and the current parcel makeup, the District has approximately 1,77</w:t>
      </w:r>
      <w:r w:rsidR="00BE212F">
        <w:rPr>
          <w:rFonts w:ascii="Arial" w:hAnsi="Arial" w:cs="Arial"/>
          <w:sz w:val="24"/>
          <w:szCs w:val="24"/>
        </w:rPr>
        <w:t>1</w:t>
      </w:r>
      <w:r>
        <w:rPr>
          <w:rFonts w:ascii="Arial" w:hAnsi="Arial" w:cs="Arial"/>
          <w:sz w:val="24"/>
          <w:szCs w:val="24"/>
        </w:rPr>
        <w:t xml:space="preserve"> equivalent assessable acres</w:t>
      </w:r>
      <w:r w:rsidR="008D3E58">
        <w:rPr>
          <w:rFonts w:ascii="Arial" w:hAnsi="Arial" w:cs="Arial"/>
          <w:sz w:val="24"/>
          <w:szCs w:val="24"/>
        </w:rPr>
        <w:t xml:space="preserve"> as of 2025</w:t>
      </w:r>
      <w:r>
        <w:rPr>
          <w:rFonts w:ascii="Arial" w:hAnsi="Arial" w:cs="Arial"/>
          <w:sz w:val="24"/>
          <w:szCs w:val="24"/>
        </w:rPr>
        <w:t>. At $20 per acre, the assessment would generate approximately $</w:t>
      </w:r>
      <w:r w:rsidR="00786D65">
        <w:rPr>
          <w:rFonts w:ascii="Arial" w:hAnsi="Arial" w:cs="Arial"/>
          <w:sz w:val="24"/>
          <w:szCs w:val="24"/>
        </w:rPr>
        <w:t>35,</w:t>
      </w:r>
      <w:r w:rsidR="00CF2FA0">
        <w:rPr>
          <w:rFonts w:ascii="Arial" w:hAnsi="Arial" w:cs="Arial"/>
          <w:sz w:val="24"/>
          <w:szCs w:val="24"/>
        </w:rPr>
        <w:t>42</w:t>
      </w:r>
      <w:r w:rsidR="00786D65">
        <w:rPr>
          <w:rFonts w:ascii="Arial" w:hAnsi="Arial" w:cs="Arial"/>
          <w:sz w:val="24"/>
          <w:szCs w:val="24"/>
        </w:rPr>
        <w:t>0</w:t>
      </w:r>
      <w:r>
        <w:rPr>
          <w:rFonts w:ascii="Arial" w:hAnsi="Arial" w:cs="Arial"/>
          <w:sz w:val="24"/>
          <w:szCs w:val="24"/>
        </w:rPr>
        <w:t xml:space="preserve"> annually; at the maximum rate of $30 per acre, the assessment would generate approximately $53,1</w:t>
      </w:r>
      <w:r w:rsidR="00CF2FA0">
        <w:rPr>
          <w:rFonts w:ascii="Arial" w:hAnsi="Arial" w:cs="Arial"/>
          <w:sz w:val="24"/>
          <w:szCs w:val="24"/>
        </w:rPr>
        <w:t>3</w:t>
      </w:r>
      <w:r>
        <w:rPr>
          <w:rFonts w:ascii="Arial" w:hAnsi="Arial" w:cs="Arial"/>
          <w:sz w:val="24"/>
          <w:szCs w:val="24"/>
        </w:rPr>
        <w:t>0, assuming the current number of assessable acres.</w:t>
      </w:r>
    </w:p>
    <w:p w14:paraId="6E7A15EA" w14:textId="77777777" w:rsidR="00522A32" w:rsidRDefault="00522A32">
      <w:pPr>
        <w:spacing w:before="240"/>
        <w:jc w:val="both"/>
      </w:pPr>
      <w:r>
        <w:rPr>
          <w:rFonts w:ascii="Arial" w:hAnsi="Arial" w:cs="Arial"/>
          <w:b/>
          <w:bCs/>
          <w:sz w:val="24"/>
          <w:szCs w:val="24"/>
        </w:rPr>
        <w:t>Budget Need and Proposed Assessment</w:t>
      </w:r>
    </w:p>
    <w:p w14:paraId="084460F5" w14:textId="458AB935" w:rsidR="00522A32" w:rsidRPr="00EB721D" w:rsidRDefault="00522A32">
      <w:pPr>
        <w:spacing w:before="240"/>
        <w:jc w:val="both"/>
        <w:rPr>
          <w:kern w:val="2"/>
          <w:highlight w:val="yellow"/>
          <w14:ligatures w14:val="standardContextual"/>
        </w:rPr>
      </w:pPr>
      <w:r w:rsidRPr="004D3513">
        <w:rPr>
          <w:rFonts w:ascii="Arial" w:hAnsi="Arial" w:cs="Arial"/>
          <w:sz w:val="24"/>
          <w:szCs w:val="24"/>
        </w:rPr>
        <w:t xml:space="preserve">The District’s projected operating needs continue to exceed its dependable annual revenue. Budgeted expenses for FY 2023–24 </w:t>
      </w:r>
      <w:r w:rsidR="004E0ADC" w:rsidRPr="004D3513">
        <w:rPr>
          <w:rFonts w:ascii="Arial" w:hAnsi="Arial" w:cs="Arial"/>
          <w:sz w:val="24"/>
          <w:szCs w:val="24"/>
        </w:rPr>
        <w:t xml:space="preserve">and </w:t>
      </w:r>
      <w:r w:rsidR="008B13CC" w:rsidRPr="004D3513">
        <w:rPr>
          <w:rFonts w:ascii="Arial" w:hAnsi="Arial" w:cs="Arial"/>
          <w:sz w:val="24"/>
          <w:szCs w:val="24"/>
        </w:rPr>
        <w:t xml:space="preserve">FY 2024-5 averaged about </w:t>
      </w:r>
      <w:r w:rsidR="004031A6" w:rsidRPr="004D3513">
        <w:rPr>
          <w:rFonts w:ascii="Arial" w:hAnsi="Arial" w:cs="Arial"/>
          <w:sz w:val="24"/>
          <w:szCs w:val="24"/>
        </w:rPr>
        <w:t>$</w:t>
      </w:r>
      <w:r w:rsidR="008B13CC" w:rsidRPr="004D3513">
        <w:rPr>
          <w:rFonts w:ascii="Arial" w:hAnsi="Arial" w:cs="Arial"/>
          <w:sz w:val="24"/>
          <w:szCs w:val="24"/>
        </w:rPr>
        <w:t>55</w:t>
      </w:r>
      <w:r w:rsidR="004031A6" w:rsidRPr="004D3513">
        <w:rPr>
          <w:rFonts w:ascii="Arial" w:hAnsi="Arial" w:cs="Arial"/>
          <w:sz w:val="24"/>
          <w:szCs w:val="24"/>
        </w:rPr>
        <w:t>,000</w:t>
      </w:r>
      <w:r w:rsidRPr="004D3513">
        <w:rPr>
          <w:rFonts w:ascii="Arial" w:hAnsi="Arial" w:cs="Arial"/>
          <w:sz w:val="24"/>
          <w:szCs w:val="24"/>
        </w:rPr>
        <w:t>, while Water Availability Charge revenue at $20 per acre provide</w:t>
      </w:r>
      <w:r w:rsidR="00745038" w:rsidRPr="004D3513">
        <w:rPr>
          <w:rFonts w:ascii="Arial" w:hAnsi="Arial" w:cs="Arial"/>
          <w:sz w:val="24"/>
          <w:szCs w:val="24"/>
        </w:rPr>
        <w:t>d</w:t>
      </w:r>
      <w:r w:rsidRPr="004D3513">
        <w:rPr>
          <w:rFonts w:ascii="Arial" w:hAnsi="Arial" w:cs="Arial"/>
          <w:sz w:val="24"/>
          <w:szCs w:val="24"/>
        </w:rPr>
        <w:t xml:space="preserve"> approximately $</w:t>
      </w:r>
      <w:r w:rsidR="009817DC">
        <w:rPr>
          <w:rFonts w:ascii="Arial" w:hAnsi="Arial" w:cs="Arial"/>
          <w:sz w:val="24"/>
          <w:szCs w:val="24"/>
        </w:rPr>
        <w:t>3</w:t>
      </w:r>
      <w:r w:rsidR="00445DB7">
        <w:rPr>
          <w:rFonts w:ascii="Arial" w:hAnsi="Arial" w:cs="Arial"/>
          <w:sz w:val="24"/>
          <w:szCs w:val="24"/>
        </w:rPr>
        <w:t>5</w:t>
      </w:r>
      <w:r w:rsidR="009817DC">
        <w:rPr>
          <w:rFonts w:ascii="Arial" w:hAnsi="Arial" w:cs="Arial"/>
          <w:sz w:val="24"/>
          <w:szCs w:val="24"/>
        </w:rPr>
        <w:t>,</w:t>
      </w:r>
      <w:r w:rsidR="00445DB7">
        <w:rPr>
          <w:rFonts w:ascii="Arial" w:hAnsi="Arial" w:cs="Arial"/>
          <w:sz w:val="24"/>
          <w:szCs w:val="24"/>
        </w:rPr>
        <w:t>420</w:t>
      </w:r>
      <w:r w:rsidRPr="004D3513">
        <w:rPr>
          <w:rFonts w:ascii="Arial" w:hAnsi="Arial" w:cs="Arial"/>
          <w:sz w:val="24"/>
          <w:szCs w:val="24"/>
        </w:rPr>
        <w:t xml:space="preserve">. When combined with the anticipated property tax allocation of </w:t>
      </w:r>
      <w:r w:rsidR="00815A8D" w:rsidRPr="004D3513">
        <w:rPr>
          <w:rFonts w:ascii="Arial" w:hAnsi="Arial" w:cs="Arial"/>
          <w:sz w:val="24"/>
          <w:szCs w:val="24"/>
        </w:rPr>
        <w:t xml:space="preserve">about </w:t>
      </w:r>
      <w:r w:rsidRPr="004D3513">
        <w:rPr>
          <w:rFonts w:ascii="Arial" w:hAnsi="Arial" w:cs="Arial"/>
          <w:sz w:val="24"/>
          <w:szCs w:val="24"/>
        </w:rPr>
        <w:t>$2,700</w:t>
      </w:r>
      <w:r w:rsidR="00FD22C6" w:rsidRPr="004D3513">
        <w:rPr>
          <w:rFonts w:ascii="Arial" w:hAnsi="Arial" w:cs="Arial"/>
          <w:sz w:val="24"/>
          <w:szCs w:val="24"/>
        </w:rPr>
        <w:t xml:space="preserve"> and</w:t>
      </w:r>
      <w:r w:rsidR="00791983" w:rsidRPr="004D3513">
        <w:rPr>
          <w:rFonts w:ascii="Arial" w:hAnsi="Arial" w:cs="Arial"/>
          <w:sz w:val="24"/>
          <w:szCs w:val="24"/>
        </w:rPr>
        <w:t xml:space="preserve"> mino</w:t>
      </w:r>
      <w:r w:rsidR="00815A8D" w:rsidRPr="004D3513">
        <w:rPr>
          <w:rFonts w:ascii="Arial" w:hAnsi="Arial" w:cs="Arial"/>
          <w:sz w:val="24"/>
          <w:szCs w:val="24"/>
        </w:rPr>
        <w:t>r</w:t>
      </w:r>
      <w:r w:rsidRPr="004D3513">
        <w:rPr>
          <w:rFonts w:ascii="Arial" w:hAnsi="Arial" w:cs="Arial"/>
          <w:sz w:val="24"/>
          <w:szCs w:val="24"/>
        </w:rPr>
        <w:t xml:space="preserve"> interest and investment income, reserve contribution</w:t>
      </w:r>
      <w:r w:rsidR="00255FBD" w:rsidRPr="004D3513">
        <w:rPr>
          <w:rFonts w:ascii="Arial" w:hAnsi="Arial" w:cs="Arial"/>
          <w:sz w:val="24"/>
          <w:szCs w:val="24"/>
        </w:rPr>
        <w:t xml:space="preserve"> was nece</w:t>
      </w:r>
      <w:r w:rsidR="004D3513">
        <w:rPr>
          <w:rFonts w:ascii="Arial" w:hAnsi="Arial" w:cs="Arial"/>
          <w:sz w:val="24"/>
          <w:szCs w:val="24"/>
        </w:rPr>
        <w:t>s</w:t>
      </w:r>
      <w:r w:rsidR="00255FBD" w:rsidRPr="004D3513">
        <w:rPr>
          <w:rFonts w:ascii="Arial" w:hAnsi="Arial" w:cs="Arial"/>
          <w:sz w:val="24"/>
          <w:szCs w:val="24"/>
        </w:rPr>
        <w:t>sary</w:t>
      </w:r>
      <w:r w:rsidRPr="004D3513">
        <w:rPr>
          <w:rFonts w:ascii="Arial" w:hAnsi="Arial" w:cs="Arial"/>
          <w:sz w:val="24"/>
          <w:szCs w:val="24"/>
        </w:rPr>
        <w:t xml:space="preserve"> to support continued District activities</w:t>
      </w:r>
      <w:r w:rsidRPr="00611F78">
        <w:rPr>
          <w:rFonts w:ascii="Arial" w:hAnsi="Arial" w:cs="Arial"/>
          <w:sz w:val="24"/>
          <w:szCs w:val="24"/>
        </w:rPr>
        <w:t>.</w:t>
      </w:r>
    </w:p>
    <w:p w14:paraId="0D3419F4" w14:textId="2596994D" w:rsidR="00522A32" w:rsidRDefault="00522A32">
      <w:pPr>
        <w:spacing w:before="240"/>
        <w:jc w:val="both"/>
      </w:pPr>
      <w:r w:rsidRPr="00896680">
        <w:rPr>
          <w:rFonts w:ascii="Arial" w:hAnsi="Arial" w:cs="Arial"/>
          <w:sz w:val="24"/>
          <w:szCs w:val="24"/>
        </w:rPr>
        <w:t>The District intend</w:t>
      </w:r>
      <w:r w:rsidR="007C63A4">
        <w:rPr>
          <w:rFonts w:ascii="Arial" w:hAnsi="Arial" w:cs="Arial"/>
          <w:sz w:val="24"/>
          <w:szCs w:val="24"/>
        </w:rPr>
        <w:t>s</w:t>
      </w:r>
      <w:r w:rsidRPr="00896680">
        <w:rPr>
          <w:rFonts w:ascii="Arial" w:hAnsi="Arial" w:cs="Arial"/>
          <w:sz w:val="24"/>
          <w:szCs w:val="24"/>
        </w:rPr>
        <w:t xml:space="preserve"> to impose a Water Availability Charge of $2</w:t>
      </w:r>
      <w:r w:rsidR="00A429F7">
        <w:rPr>
          <w:rFonts w:ascii="Arial" w:hAnsi="Arial" w:cs="Arial"/>
          <w:sz w:val="24"/>
          <w:szCs w:val="24"/>
        </w:rPr>
        <w:t>5</w:t>
      </w:r>
      <w:r w:rsidRPr="00896680">
        <w:rPr>
          <w:rFonts w:ascii="Arial" w:hAnsi="Arial" w:cs="Arial"/>
          <w:sz w:val="24"/>
          <w:szCs w:val="24"/>
        </w:rPr>
        <w:t xml:space="preserve"> per acre, or portion of an acre, and $2</w:t>
      </w:r>
      <w:r w:rsidR="00FE7E38" w:rsidRPr="00896680">
        <w:rPr>
          <w:rFonts w:ascii="Arial" w:hAnsi="Arial" w:cs="Arial"/>
          <w:sz w:val="24"/>
          <w:szCs w:val="24"/>
        </w:rPr>
        <w:t>5</w:t>
      </w:r>
      <w:r w:rsidRPr="00896680">
        <w:rPr>
          <w:rFonts w:ascii="Arial" w:hAnsi="Arial" w:cs="Arial"/>
          <w:sz w:val="24"/>
          <w:szCs w:val="24"/>
        </w:rPr>
        <w:t xml:space="preserve"> per parcel of less than one acre for the fiscal year beginning July 1, 202</w:t>
      </w:r>
      <w:r w:rsidR="00FE7E38" w:rsidRPr="00896680">
        <w:rPr>
          <w:rFonts w:ascii="Arial" w:hAnsi="Arial" w:cs="Arial"/>
          <w:sz w:val="24"/>
          <w:szCs w:val="24"/>
        </w:rPr>
        <w:t>6</w:t>
      </w:r>
      <w:r w:rsidRPr="00896680">
        <w:rPr>
          <w:rFonts w:ascii="Arial" w:hAnsi="Arial" w:cs="Arial"/>
          <w:sz w:val="24"/>
          <w:szCs w:val="24"/>
        </w:rPr>
        <w:t xml:space="preserve">. For each fiscal year thereafter, through and including the fiscal year beginning July </w:t>
      </w:r>
      <w:r w:rsidRPr="00896680">
        <w:rPr>
          <w:rFonts w:ascii="Arial" w:hAnsi="Arial" w:cs="Arial"/>
          <w:sz w:val="24"/>
          <w:szCs w:val="24"/>
        </w:rPr>
        <w:lastRenderedPageBreak/>
        <w:t>1, 20</w:t>
      </w:r>
      <w:r w:rsidR="00896680" w:rsidRPr="00896680">
        <w:rPr>
          <w:rFonts w:ascii="Arial" w:hAnsi="Arial" w:cs="Arial"/>
          <w:sz w:val="24"/>
          <w:szCs w:val="24"/>
        </w:rPr>
        <w:t>30</w:t>
      </w:r>
      <w:r w:rsidRPr="00896680">
        <w:rPr>
          <w:rFonts w:ascii="Arial" w:hAnsi="Arial" w:cs="Arial"/>
          <w:sz w:val="24"/>
          <w:szCs w:val="24"/>
        </w:rPr>
        <w:t xml:space="preserve">, the District would be justified in imposing up to $30 per acre, or portion of an acre, and $30 per parcel of less than one acre, </w:t>
      </w:r>
      <w:r w:rsidRPr="00896680">
        <w:rPr>
          <w:rFonts w:ascii="Arial" w:hAnsi="Arial" w:cs="Arial"/>
          <w:iCs/>
          <w:sz w:val="24"/>
          <w:szCs w:val="24"/>
        </w:rPr>
        <w:t>depending</w:t>
      </w:r>
      <w:r w:rsidRPr="00896680">
        <w:rPr>
          <w:rFonts w:ascii="Arial" w:hAnsi="Arial" w:cs="Arial"/>
          <w:sz w:val="24"/>
          <w:szCs w:val="24"/>
        </w:rPr>
        <w:t xml:space="preserve"> on budgeted expenses and revenue changes needed to maintain the District’s historic services and activities.</w:t>
      </w:r>
    </w:p>
    <w:p w14:paraId="5F7D7397" w14:textId="77777777" w:rsidR="00522A32" w:rsidRDefault="00522A32">
      <w:pPr>
        <w:spacing w:before="240"/>
        <w:jc w:val="both"/>
      </w:pPr>
      <w:r>
        <w:rPr>
          <w:rFonts w:ascii="Arial" w:hAnsi="Arial" w:cs="Arial"/>
          <w:b/>
          <w:bCs/>
          <w:sz w:val="24"/>
          <w:szCs w:val="24"/>
        </w:rPr>
        <w:t>Assessment Justification</w:t>
      </w:r>
    </w:p>
    <w:p w14:paraId="30E5D7A0" w14:textId="77777777" w:rsidR="00522A32" w:rsidRDefault="00522A32">
      <w:pPr>
        <w:spacing w:before="240"/>
        <w:jc w:val="both"/>
        <w:rPr>
          <w:kern w:val="2"/>
          <w14:ligatures w14:val="standardContextual"/>
        </w:rPr>
      </w:pPr>
      <w:r>
        <w:rPr>
          <w:rFonts w:ascii="Arial" w:hAnsi="Arial" w:cs="Arial"/>
          <w:sz w:val="24"/>
          <w:szCs w:val="24"/>
        </w:rPr>
        <w:t>The assessment amounts do not exceed the proportional benefit to the affected parcels and would be used only for the purposes described in this report. Given changing development conditions, the long-term implications of AB 1944, and the District’s reduced revenue base, the Water Availability Charge remains necessary to fund services that provide special benefits to District landowners.</w:t>
      </w:r>
    </w:p>
    <w:p w14:paraId="4240AFBE" w14:textId="77777777" w:rsidR="00522A32" w:rsidRDefault="00522A32">
      <w:pPr>
        <w:spacing w:before="240"/>
        <w:jc w:val="both"/>
        <w:rPr>
          <w:kern w:val="2"/>
          <w14:ligatures w14:val="standardContextual"/>
        </w:rPr>
      </w:pPr>
      <w:r>
        <w:rPr>
          <w:rFonts w:ascii="Arial" w:hAnsi="Arial" w:cs="Arial"/>
          <w:sz w:val="24"/>
          <w:szCs w:val="24"/>
        </w:rPr>
        <w:t>For these reasons, the District is justified in continuing to assess the Water Availability Charge at up to $30 per acre, or portion of an acre, and $30 per parcel of less than one acre when supported by budgeted expenses, revenue conditions, the proportionality of benefits, and the ongoing need to protect landowner water interests.</w:t>
      </w:r>
    </w:p>
    <w:p w14:paraId="4228283E" w14:textId="77777777" w:rsidR="003D3CBA" w:rsidRDefault="003D3CBA">
      <w:pPr>
        <w:rPr>
          <w:rFonts w:ascii="Arial" w:hAnsi="Arial" w:cs="Arial"/>
          <w:sz w:val="24"/>
          <w:szCs w:val="24"/>
        </w:rPr>
      </w:pPr>
      <w:r>
        <w:rPr>
          <w:rFonts w:ascii="Arial" w:hAnsi="Arial" w:cs="Arial"/>
          <w:sz w:val="24"/>
          <w:szCs w:val="24"/>
        </w:rPr>
        <w:br w:type="page"/>
      </w:r>
    </w:p>
    <w:p w14:paraId="3D6B2F60" w14:textId="77777777" w:rsidR="00DB160A" w:rsidRDefault="00DB160A">
      <w:pPr>
        <w:spacing w:before="240"/>
        <w:jc w:val="both"/>
      </w:pPr>
      <w:r w:rsidRPr="003D3CBA">
        <w:rPr>
          <w:rFonts w:ascii="Arial" w:hAnsi="Arial" w:cs="Arial"/>
          <w:sz w:val="28"/>
          <w:szCs w:val="28"/>
          <w:u w:val="single"/>
        </w:rPr>
        <w:lastRenderedPageBreak/>
        <w:t>Proposition 218 Requirements</w:t>
      </w:r>
    </w:p>
    <w:p w14:paraId="2E375DA9" w14:textId="77777777" w:rsidR="00DB160A" w:rsidRDefault="00DB160A">
      <w:pPr>
        <w:spacing w:before="240"/>
        <w:jc w:val="both"/>
      </w:pPr>
      <w:r>
        <w:rPr>
          <w:rFonts w:ascii="Arial" w:hAnsi="Arial" w:cs="Arial"/>
          <w:b/>
          <w:bCs/>
          <w:sz w:val="24"/>
          <w:szCs w:val="24"/>
        </w:rPr>
        <w:t>Applicability to the Water Availability Charge</w:t>
      </w:r>
    </w:p>
    <w:p w14:paraId="7DD87AF4" w14:textId="77777777" w:rsidR="00DB160A" w:rsidRDefault="00DB160A">
      <w:pPr>
        <w:spacing w:before="240"/>
        <w:jc w:val="both"/>
        <w:rPr>
          <w:kern w:val="2"/>
          <w14:ligatures w14:val="standardContextual"/>
        </w:rPr>
      </w:pPr>
      <w:r>
        <w:rPr>
          <w:rFonts w:ascii="Arial" w:hAnsi="Arial" w:cs="Arial"/>
          <w:sz w:val="24"/>
          <w:szCs w:val="24"/>
        </w:rPr>
        <w:t>Proposition 218, approved by California voters in November 1996 and codified in Article XIII D of the California Constitution, requires voter or property-owner approval for many taxes, assessments, and property-related fees. Because the San Luis Rey Municipal Water District imposes a Water Availability Charge assessment, the District must comply with Proposition 218 before increasing that assessment.</w:t>
      </w:r>
    </w:p>
    <w:p w14:paraId="11098098" w14:textId="77777777" w:rsidR="00DB160A" w:rsidRDefault="00DB160A">
      <w:pPr>
        <w:spacing w:before="240"/>
        <w:jc w:val="both"/>
      </w:pPr>
      <w:r>
        <w:rPr>
          <w:rFonts w:ascii="Arial" w:hAnsi="Arial" w:cs="Arial"/>
          <w:b/>
          <w:bCs/>
          <w:sz w:val="24"/>
          <w:szCs w:val="24"/>
        </w:rPr>
        <w:t>Required Assessment Procedure</w:t>
      </w:r>
    </w:p>
    <w:p w14:paraId="744AD0DC" w14:textId="77777777" w:rsidR="00DB160A" w:rsidRDefault="00DB160A">
      <w:pPr>
        <w:spacing w:before="240"/>
        <w:jc w:val="both"/>
        <w:rPr>
          <w:kern w:val="2"/>
          <w14:ligatures w14:val="standardContextual"/>
        </w:rPr>
      </w:pPr>
      <w:r>
        <w:rPr>
          <w:rFonts w:ascii="Arial" w:hAnsi="Arial" w:cs="Arial"/>
          <w:sz w:val="24"/>
          <w:szCs w:val="24"/>
        </w:rPr>
        <w:t>To impose or increase the Water Availability Charge assessment, the District must follow the procedural requirements established under Proposition 218:</w:t>
      </w:r>
    </w:p>
    <w:p w14:paraId="36FFA84D" w14:textId="50CF3037" w:rsidR="00DB160A" w:rsidRDefault="00DB160A" w:rsidP="00DB160A">
      <w:pPr>
        <w:pStyle w:val="ListParagraph"/>
        <w:numPr>
          <w:ilvl w:val="0"/>
          <w:numId w:val="4"/>
        </w:numPr>
        <w:rPr>
          <w:kern w:val="2"/>
          <w14:ligatures w14:val="standardContextual"/>
        </w:rPr>
      </w:pPr>
      <w:r>
        <w:rPr>
          <w:rFonts w:ascii="Arial" w:hAnsi="Arial" w:cs="Arial"/>
          <w:sz w:val="24"/>
          <w:szCs w:val="24"/>
        </w:rPr>
        <w:t xml:space="preserve">Set a public hearing date to consider the resolution </w:t>
      </w:r>
      <w:r w:rsidR="00F459C7">
        <w:rPr>
          <w:rFonts w:ascii="Arial" w:hAnsi="Arial" w:cs="Arial"/>
          <w:sz w:val="24"/>
          <w:szCs w:val="24"/>
        </w:rPr>
        <w:t>to establish</w:t>
      </w:r>
      <w:r>
        <w:rPr>
          <w:rFonts w:ascii="Arial" w:hAnsi="Arial" w:cs="Arial"/>
          <w:sz w:val="24"/>
          <w:szCs w:val="24"/>
        </w:rPr>
        <w:t xml:space="preserve"> or </w:t>
      </w:r>
      <w:r w:rsidR="00152F47">
        <w:rPr>
          <w:rFonts w:ascii="Arial" w:hAnsi="Arial" w:cs="Arial"/>
          <w:sz w:val="24"/>
          <w:szCs w:val="24"/>
        </w:rPr>
        <w:t>increase</w:t>
      </w:r>
      <w:r>
        <w:rPr>
          <w:rFonts w:ascii="Arial" w:hAnsi="Arial" w:cs="Arial"/>
          <w:sz w:val="24"/>
          <w:szCs w:val="24"/>
        </w:rPr>
        <w:t xml:space="preserve"> the Water Availability Charge assessment.</w:t>
      </w:r>
    </w:p>
    <w:p w14:paraId="08E85B2E" w14:textId="77777777" w:rsidR="00DB160A" w:rsidRDefault="00DB160A" w:rsidP="00DB160A">
      <w:pPr>
        <w:pStyle w:val="ListParagraph"/>
        <w:numPr>
          <w:ilvl w:val="0"/>
          <w:numId w:val="4"/>
        </w:numPr>
      </w:pPr>
      <w:r>
        <w:rPr>
          <w:rFonts w:ascii="Arial" w:hAnsi="Arial" w:cs="Arial"/>
          <w:sz w:val="24"/>
          <w:szCs w:val="24"/>
        </w:rPr>
        <w:t>Mail information about the proposed assessment and a voting ballot to each property owner of record within the District at least 45 days before the public hearing.</w:t>
      </w:r>
    </w:p>
    <w:p w14:paraId="54FEB8F2" w14:textId="77777777" w:rsidR="00DB160A" w:rsidRDefault="00DB160A" w:rsidP="00DB160A">
      <w:pPr>
        <w:pStyle w:val="ListParagraph"/>
        <w:numPr>
          <w:ilvl w:val="0"/>
          <w:numId w:val="4"/>
        </w:numPr>
      </w:pPr>
      <w:r>
        <w:rPr>
          <w:rFonts w:ascii="Arial" w:hAnsi="Arial" w:cs="Arial"/>
          <w:sz w:val="24"/>
          <w:szCs w:val="24"/>
        </w:rPr>
        <w:t>At the public hearing, consider all protests and tabulate the ballots submitted by affected property owners.</w:t>
      </w:r>
    </w:p>
    <w:p w14:paraId="4B09EF75" w14:textId="51B0B5E5" w:rsidR="00DB160A" w:rsidRDefault="00F459C7" w:rsidP="00DB160A">
      <w:pPr>
        <w:pStyle w:val="ListParagraph"/>
        <w:numPr>
          <w:ilvl w:val="0"/>
          <w:numId w:val="4"/>
        </w:numPr>
      </w:pPr>
      <w:r>
        <w:rPr>
          <w:rFonts w:ascii="Arial" w:hAnsi="Arial" w:cs="Arial"/>
          <w:sz w:val="24"/>
          <w:szCs w:val="24"/>
        </w:rPr>
        <w:t>Weigh</w:t>
      </w:r>
      <w:r w:rsidR="00DB160A">
        <w:rPr>
          <w:rFonts w:ascii="Arial" w:hAnsi="Arial" w:cs="Arial"/>
          <w:sz w:val="24"/>
          <w:szCs w:val="24"/>
        </w:rPr>
        <w:t xml:space="preserve"> each ballot according to the proportional financial obligation of the affected property.</w:t>
      </w:r>
    </w:p>
    <w:p w14:paraId="573449A6" w14:textId="77777777" w:rsidR="00DB160A" w:rsidRDefault="00DB160A" w:rsidP="00DB160A">
      <w:pPr>
        <w:pStyle w:val="ListParagraph"/>
        <w:numPr>
          <w:ilvl w:val="0"/>
          <w:numId w:val="4"/>
        </w:numPr>
      </w:pPr>
      <w:r>
        <w:rPr>
          <w:rFonts w:ascii="Arial" w:hAnsi="Arial" w:cs="Arial"/>
          <w:sz w:val="24"/>
          <w:szCs w:val="24"/>
        </w:rPr>
        <w:t>Do not increase the assessment if weighted ballots submitted in opposition exceed weighted ballots submitted in favor.</w:t>
      </w:r>
    </w:p>
    <w:p w14:paraId="2F56F32A" w14:textId="77777777" w:rsidR="001E2001" w:rsidRDefault="001E2001">
      <w:pPr>
        <w:spacing w:before="240"/>
        <w:jc w:val="both"/>
      </w:pPr>
      <w:r>
        <w:rPr>
          <w:rFonts w:ascii="Arial" w:hAnsi="Arial" w:cs="Arial"/>
          <w:sz w:val="24"/>
          <w:szCs w:val="24"/>
        </w:rPr>
        <w:t>If the weighted ballots submitted in favor exceed the weighted ballots submitted in opposition, the District may proceed to make the assessment effective.</w:t>
      </w:r>
    </w:p>
    <w:p w14:paraId="7607ADFC" w14:textId="77777777" w:rsidR="00F257BE" w:rsidRDefault="00F257BE">
      <w:pPr>
        <w:rPr>
          <w:rFonts w:ascii="Arial" w:hAnsi="Arial" w:cs="Arial"/>
          <w:sz w:val="24"/>
          <w:szCs w:val="24"/>
        </w:rPr>
      </w:pPr>
      <w:r>
        <w:rPr>
          <w:rFonts w:ascii="Arial" w:hAnsi="Arial" w:cs="Arial"/>
          <w:sz w:val="24"/>
          <w:szCs w:val="24"/>
        </w:rPr>
        <w:br w:type="page"/>
      </w:r>
    </w:p>
    <w:p w14:paraId="03A6B8A9" w14:textId="77777777" w:rsidR="006B172E" w:rsidRPr="00B14169" w:rsidRDefault="006B172E">
      <w:pPr>
        <w:spacing w:before="240"/>
        <w:jc w:val="both"/>
        <w:rPr>
          <w:rFonts w:ascii="Arial" w:hAnsi="Arial" w:cs="Arial"/>
          <w:sz w:val="24"/>
          <w:szCs w:val="24"/>
        </w:rPr>
      </w:pPr>
      <w:r w:rsidRPr="00F257BE">
        <w:rPr>
          <w:rFonts w:ascii="Arial" w:hAnsi="Arial" w:cs="Arial"/>
          <w:sz w:val="28"/>
          <w:szCs w:val="28"/>
          <w:u w:val="single"/>
        </w:rPr>
        <w:lastRenderedPageBreak/>
        <w:t>Alternative Fiscal Solutions</w:t>
      </w:r>
    </w:p>
    <w:p w14:paraId="7D4E2671" w14:textId="77777777" w:rsidR="006B172E" w:rsidRPr="00B14169" w:rsidRDefault="006B172E">
      <w:pPr>
        <w:spacing w:before="240"/>
        <w:jc w:val="both"/>
        <w:rPr>
          <w:rFonts w:ascii="Arial" w:hAnsi="Arial" w:cs="Arial"/>
          <w:sz w:val="24"/>
          <w:szCs w:val="24"/>
        </w:rPr>
      </w:pPr>
      <w:r>
        <w:rPr>
          <w:rFonts w:ascii="Arial" w:hAnsi="Arial" w:cs="Arial"/>
          <w:b/>
          <w:bCs/>
          <w:sz w:val="24"/>
          <w:szCs w:val="24"/>
        </w:rPr>
        <w:t>Limited Revenue Options</w:t>
      </w:r>
    </w:p>
    <w:p w14:paraId="5AFE43D5" w14:textId="77777777" w:rsidR="006B172E" w:rsidRPr="00B14169" w:rsidRDefault="006B172E">
      <w:pPr>
        <w:spacing w:before="240"/>
        <w:jc w:val="both"/>
        <w:rPr>
          <w:rFonts w:ascii="Arial" w:hAnsi="Arial" w:cs="Arial"/>
          <w:sz w:val="24"/>
          <w:szCs w:val="24"/>
        </w:rPr>
      </w:pPr>
      <w:r>
        <w:rPr>
          <w:rFonts w:ascii="Arial" w:hAnsi="Arial" w:cs="Arial"/>
          <w:sz w:val="24"/>
          <w:szCs w:val="24"/>
        </w:rPr>
        <w:t>Because of the San Luis Rey Municipal Water District’s unique history, service area, and organizational structure, its revenue options are very limited. The Proposition 13 one-percent tax allotment is established by statute and, while helpful, provides less than five percent of the District’s annual required revenue. That contribution may decline further if additional property detaches from the District.</w:t>
      </w:r>
    </w:p>
    <w:p w14:paraId="60F84AF8" w14:textId="77777777" w:rsidR="006B172E" w:rsidRPr="00B14169" w:rsidRDefault="006B172E">
      <w:pPr>
        <w:spacing w:before="240"/>
        <w:jc w:val="both"/>
        <w:rPr>
          <w:rFonts w:ascii="Arial" w:hAnsi="Arial" w:cs="Arial"/>
          <w:sz w:val="24"/>
          <w:szCs w:val="24"/>
        </w:rPr>
      </w:pPr>
      <w:r>
        <w:rPr>
          <w:rFonts w:ascii="Arial" w:hAnsi="Arial" w:cs="Arial"/>
          <w:sz w:val="24"/>
          <w:szCs w:val="24"/>
        </w:rPr>
        <w:t>As a result, the Water Availability Charge remains the District’s primary and most reliable funding source for the services and activities described in this report.</w:t>
      </w:r>
    </w:p>
    <w:p w14:paraId="17EB6FFC" w14:textId="77777777" w:rsidR="006B172E" w:rsidRDefault="006B172E">
      <w:pPr>
        <w:spacing w:before="240"/>
        <w:jc w:val="both"/>
        <w:rPr>
          <w:kern w:val="2"/>
          <w14:ligatures w14:val="standardContextual"/>
        </w:rPr>
      </w:pPr>
      <w:r>
        <w:rPr>
          <w:rFonts w:ascii="Arial" w:hAnsi="Arial" w:cs="Arial"/>
          <w:b/>
          <w:bCs/>
          <w:sz w:val="24"/>
          <w:szCs w:val="24"/>
        </w:rPr>
        <w:t>Detachment-Related Revenue Is Uncertain</w:t>
      </w:r>
    </w:p>
    <w:p w14:paraId="1A0193B9" w14:textId="77777777" w:rsidR="006B172E" w:rsidRDefault="006B172E">
      <w:pPr>
        <w:spacing w:before="240"/>
        <w:jc w:val="both"/>
        <w:rPr>
          <w:kern w:val="2"/>
          <w14:ligatures w14:val="standardContextual"/>
        </w:rPr>
      </w:pPr>
      <w:r>
        <w:rPr>
          <w:rFonts w:ascii="Arial" w:hAnsi="Arial" w:cs="Arial"/>
          <w:sz w:val="24"/>
          <w:szCs w:val="24"/>
        </w:rPr>
        <w:t>The District intends to work cooperatively with landowners who may seek to leave the District under the Detachment Policy. However, the timing, outcome, and financial effect of any related negotiations or litigation cannot be predicted with sufficient certainty for budgeting purposes.</w:t>
      </w:r>
    </w:p>
    <w:p w14:paraId="284448F7" w14:textId="77777777" w:rsidR="006B172E" w:rsidRDefault="006B172E">
      <w:pPr>
        <w:spacing w:before="240"/>
        <w:jc w:val="both"/>
        <w:rPr>
          <w:kern w:val="2"/>
          <w14:ligatures w14:val="standardContextual"/>
        </w:rPr>
      </w:pPr>
      <w:r>
        <w:rPr>
          <w:rFonts w:ascii="Arial" w:hAnsi="Arial" w:cs="Arial"/>
          <w:b/>
          <w:bCs/>
          <w:sz w:val="24"/>
          <w:szCs w:val="24"/>
        </w:rPr>
        <w:t>Funding Conclusion</w:t>
      </w:r>
    </w:p>
    <w:p w14:paraId="5D0CD1AC" w14:textId="47412D5C" w:rsidR="006B172E" w:rsidRDefault="008D1A8E">
      <w:pPr>
        <w:spacing w:before="240"/>
        <w:jc w:val="both"/>
        <w:rPr>
          <w:kern w:val="2"/>
          <w14:ligatures w14:val="standardContextual"/>
        </w:rPr>
      </w:pPr>
      <w:r>
        <w:rPr>
          <w:rFonts w:ascii="Arial" w:hAnsi="Arial" w:cs="Arial"/>
          <w:sz w:val="24"/>
          <w:szCs w:val="24"/>
        </w:rPr>
        <w:t>Currently</w:t>
      </w:r>
      <w:r w:rsidR="006B172E">
        <w:rPr>
          <w:rFonts w:ascii="Arial" w:hAnsi="Arial" w:cs="Arial"/>
          <w:sz w:val="24"/>
          <w:szCs w:val="24"/>
        </w:rPr>
        <w:t>, the District has no other dependable revenue source to sustain its ongoing services and activities. The continued use of the Water Availability Charge is therefore justified as the practical means of funding the District’s work on behalf of its landowners.</w:t>
      </w:r>
    </w:p>
    <w:p w14:paraId="54229AA8" w14:textId="77777777" w:rsidR="00FC2B25" w:rsidRDefault="00FC2B25">
      <w:pPr>
        <w:rPr>
          <w:rFonts w:ascii="Arial" w:hAnsi="Arial" w:cs="Arial"/>
          <w:sz w:val="24"/>
          <w:szCs w:val="24"/>
        </w:rPr>
      </w:pPr>
      <w:r>
        <w:rPr>
          <w:rFonts w:ascii="Arial" w:hAnsi="Arial" w:cs="Arial"/>
          <w:sz w:val="24"/>
          <w:szCs w:val="24"/>
        </w:rPr>
        <w:br w:type="page"/>
      </w:r>
    </w:p>
    <w:p w14:paraId="67B955AE" w14:textId="77777777" w:rsidR="005560DC" w:rsidRPr="00B14169" w:rsidRDefault="005560DC">
      <w:pPr>
        <w:spacing w:before="240"/>
        <w:jc w:val="both"/>
        <w:rPr>
          <w:rFonts w:ascii="Arial" w:hAnsi="Arial" w:cs="Arial"/>
          <w:sz w:val="24"/>
          <w:szCs w:val="24"/>
        </w:rPr>
      </w:pPr>
      <w:r w:rsidRPr="00FC2B25">
        <w:rPr>
          <w:rFonts w:ascii="Arial" w:hAnsi="Arial" w:cs="Arial"/>
          <w:sz w:val="28"/>
          <w:szCs w:val="28"/>
          <w:u w:val="single"/>
        </w:rPr>
        <w:lastRenderedPageBreak/>
        <w:t>Conclusions</w:t>
      </w:r>
    </w:p>
    <w:p w14:paraId="5B5CB6F1" w14:textId="77777777" w:rsidR="005560DC" w:rsidRPr="00B14169" w:rsidRDefault="005560DC">
      <w:pPr>
        <w:spacing w:before="240"/>
        <w:jc w:val="both"/>
        <w:rPr>
          <w:rFonts w:ascii="Arial" w:hAnsi="Arial" w:cs="Arial"/>
          <w:sz w:val="24"/>
          <w:szCs w:val="24"/>
        </w:rPr>
      </w:pPr>
      <w:r>
        <w:rPr>
          <w:rFonts w:ascii="Arial" w:hAnsi="Arial" w:cs="Arial"/>
          <w:b/>
          <w:bCs/>
          <w:sz w:val="24"/>
          <w:szCs w:val="24"/>
        </w:rPr>
        <w:t>Special Benefits to Landowners</w:t>
      </w:r>
    </w:p>
    <w:p w14:paraId="316619D9" w14:textId="77777777" w:rsidR="005560DC" w:rsidRDefault="005560DC">
      <w:pPr>
        <w:spacing w:before="240"/>
        <w:jc w:val="both"/>
        <w:rPr>
          <w:kern w:val="2"/>
          <w14:ligatures w14:val="standardContextual"/>
        </w:rPr>
      </w:pPr>
      <w:r>
        <w:rPr>
          <w:rFonts w:ascii="Arial" w:hAnsi="Arial" w:cs="Arial"/>
          <w:sz w:val="24"/>
          <w:szCs w:val="24"/>
        </w:rPr>
        <w:t>The services and activities provided by the San Luis Rey Municipal Water District confer special benefits on District landowners by helping protect and enhance their water rights, water storage rights, and water quality. By acting collectively on behalf of landowners, the District increases their influence and reduces individual costs through economies of scale.</w:t>
      </w:r>
    </w:p>
    <w:p w14:paraId="6B68CBB4" w14:textId="77777777" w:rsidR="005560DC" w:rsidRDefault="005560DC">
      <w:pPr>
        <w:spacing w:before="240"/>
        <w:jc w:val="both"/>
        <w:rPr>
          <w:kern w:val="2"/>
          <w14:ligatures w14:val="standardContextual"/>
        </w:rPr>
      </w:pPr>
      <w:r>
        <w:rPr>
          <w:rFonts w:ascii="Arial" w:hAnsi="Arial" w:cs="Arial"/>
          <w:b/>
          <w:bCs/>
          <w:sz w:val="24"/>
          <w:szCs w:val="24"/>
        </w:rPr>
        <w:t>Need for Continued District Activity</w:t>
      </w:r>
    </w:p>
    <w:p w14:paraId="0CD94887" w14:textId="77777777" w:rsidR="005560DC" w:rsidRDefault="005560DC">
      <w:pPr>
        <w:spacing w:before="240"/>
        <w:jc w:val="both"/>
        <w:rPr>
          <w:kern w:val="2"/>
          <w14:ligatures w14:val="standardContextual"/>
        </w:rPr>
      </w:pPr>
      <w:r>
        <w:rPr>
          <w:rFonts w:ascii="Arial" w:hAnsi="Arial" w:cs="Arial"/>
          <w:sz w:val="24"/>
          <w:szCs w:val="24"/>
        </w:rPr>
        <w:t>Significant sources of District revenue are no longer available because of economic, political, and financial changes affecting the District. At the same time, implementation of the Sustainable Groundwater Management Act in and near the Upper San Luis Rey River Basin continues to create uncertainty that requires ongoing diligence and District participation to protect landowner interests.</w:t>
      </w:r>
    </w:p>
    <w:p w14:paraId="5EE1B27C" w14:textId="77777777" w:rsidR="005560DC" w:rsidRPr="00B14169" w:rsidRDefault="005560DC">
      <w:pPr>
        <w:spacing w:before="240"/>
        <w:jc w:val="both"/>
        <w:rPr>
          <w:rFonts w:ascii="Arial" w:hAnsi="Arial" w:cs="Arial"/>
          <w:sz w:val="24"/>
          <w:szCs w:val="24"/>
        </w:rPr>
      </w:pPr>
      <w:r>
        <w:rPr>
          <w:rFonts w:ascii="Arial" w:hAnsi="Arial" w:cs="Arial"/>
          <w:b/>
          <w:bCs/>
          <w:sz w:val="24"/>
          <w:szCs w:val="24"/>
        </w:rPr>
        <w:t>Assessment Recommendation</w:t>
      </w:r>
    </w:p>
    <w:p w14:paraId="749A65C2" w14:textId="45540CCB" w:rsidR="005560DC" w:rsidRDefault="005560DC">
      <w:pPr>
        <w:spacing w:before="240"/>
        <w:jc w:val="both"/>
        <w:rPr>
          <w:kern w:val="2"/>
          <w14:ligatures w14:val="standardContextual"/>
        </w:rPr>
      </w:pPr>
      <w:r>
        <w:rPr>
          <w:rFonts w:ascii="Arial" w:hAnsi="Arial" w:cs="Arial"/>
          <w:sz w:val="24"/>
          <w:szCs w:val="24"/>
        </w:rPr>
        <w:t xml:space="preserve">For these reasons, the District has determined that imposing a Water Availability Charge assessment is in the best interest of its landowners. The recommended assessment is $25 per acre, or portion of an acre, per year and $25 per parcel of less than one acre for the fiscal year beginning July 1, 2026. The authorization may continue annually at a rate of up to $30 per acre, or portion of an </w:t>
      </w:r>
      <w:r w:rsidR="00D32B2A">
        <w:rPr>
          <w:rFonts w:ascii="Arial" w:hAnsi="Arial" w:cs="Arial"/>
          <w:sz w:val="24"/>
          <w:szCs w:val="24"/>
        </w:rPr>
        <w:t>acre</w:t>
      </w:r>
      <w:r>
        <w:rPr>
          <w:rFonts w:ascii="Arial" w:hAnsi="Arial" w:cs="Arial"/>
          <w:sz w:val="24"/>
          <w:szCs w:val="24"/>
        </w:rPr>
        <w:t xml:space="preserve"> per year and $30 per parcel of less than one acre through the fiscal year beginning July 1, 20</w:t>
      </w:r>
      <w:r w:rsidR="00DC4DC0">
        <w:rPr>
          <w:rFonts w:ascii="Arial" w:hAnsi="Arial" w:cs="Arial"/>
          <w:sz w:val="24"/>
          <w:szCs w:val="24"/>
        </w:rPr>
        <w:t>30</w:t>
      </w:r>
      <w:r>
        <w:rPr>
          <w:rFonts w:ascii="Arial" w:hAnsi="Arial" w:cs="Arial"/>
          <w:sz w:val="24"/>
          <w:szCs w:val="24"/>
        </w:rPr>
        <w:t>.</w:t>
      </w:r>
    </w:p>
    <w:p w14:paraId="2B5C30C0" w14:textId="77777777" w:rsidR="005560DC" w:rsidRDefault="005560DC">
      <w:pPr>
        <w:spacing w:before="240"/>
        <w:jc w:val="both"/>
        <w:rPr>
          <w:kern w:val="2"/>
          <w14:ligatures w14:val="standardContextual"/>
        </w:rPr>
      </w:pPr>
      <w:r>
        <w:rPr>
          <w:rFonts w:ascii="Arial" w:hAnsi="Arial" w:cs="Arial"/>
          <w:sz w:val="24"/>
          <w:szCs w:val="24"/>
        </w:rPr>
        <w:t>The assessment charged to each landowner is proportionate to the special benefits received because it is based on the amount of property owned by that landowner. Accordingly, the District’s Water Availability Charge reasonably reflects the value of the special benefits conferred by the District’s services and activities.</w:t>
      </w:r>
    </w:p>
    <w:p w14:paraId="038D21DB" w14:textId="77777777" w:rsidR="005560DC" w:rsidRDefault="005560DC"/>
    <w:sectPr w:rsidR="005560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E298" w14:textId="77777777" w:rsidR="00092430" w:rsidRDefault="00092430" w:rsidP="006C62B9">
      <w:pPr>
        <w:spacing w:after="0" w:line="240" w:lineRule="auto"/>
      </w:pPr>
      <w:r>
        <w:separator/>
      </w:r>
    </w:p>
  </w:endnote>
  <w:endnote w:type="continuationSeparator" w:id="0">
    <w:p w14:paraId="2FFBF5C7" w14:textId="77777777" w:rsidR="00092430" w:rsidRDefault="00092430" w:rsidP="006C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994" w14:textId="77777777" w:rsidR="001F488C" w:rsidRPr="001F488C" w:rsidRDefault="001F488C">
    <w:pPr>
      <w:pStyle w:val="Footer"/>
      <w:jc w:val="center"/>
    </w:pPr>
    <w:r w:rsidRPr="001F488C">
      <w:t xml:space="preserve">Page </w:t>
    </w:r>
    <w:r w:rsidRPr="001F488C">
      <w:fldChar w:fldCharType="begin"/>
    </w:r>
    <w:r w:rsidRPr="001F488C">
      <w:instrText xml:space="preserve"> PAGE  \* Arabic  \* MERGEFORMAT </w:instrText>
    </w:r>
    <w:r w:rsidRPr="001F488C">
      <w:fldChar w:fldCharType="separate"/>
    </w:r>
    <w:r w:rsidRPr="001F488C">
      <w:rPr>
        <w:noProof/>
      </w:rPr>
      <w:t>2</w:t>
    </w:r>
    <w:r w:rsidRPr="001F488C">
      <w:fldChar w:fldCharType="end"/>
    </w:r>
    <w:r w:rsidRPr="001F488C">
      <w:t xml:space="preserve"> of </w:t>
    </w:r>
    <w:fldSimple w:instr=" NUMPAGES  \* Arabic  \* MERGEFORMAT ">
      <w:r w:rsidRPr="001F488C">
        <w:rPr>
          <w:noProof/>
        </w:rPr>
        <w:t>2</w:t>
      </w:r>
    </w:fldSimple>
  </w:p>
  <w:p w14:paraId="4B67FD29" w14:textId="77777777" w:rsidR="005E5E76" w:rsidRDefault="005E5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FB5C" w14:textId="77777777" w:rsidR="00092430" w:rsidRDefault="00092430" w:rsidP="006C62B9">
      <w:pPr>
        <w:spacing w:after="0" w:line="240" w:lineRule="auto"/>
      </w:pPr>
      <w:r>
        <w:separator/>
      </w:r>
    </w:p>
  </w:footnote>
  <w:footnote w:type="continuationSeparator" w:id="0">
    <w:p w14:paraId="1970FF82" w14:textId="77777777" w:rsidR="00092430" w:rsidRDefault="00092430" w:rsidP="006C6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60D7" w14:textId="4A34B8FE" w:rsidR="00424446" w:rsidRPr="0000311E" w:rsidRDefault="00A8494B" w:rsidP="00A8494B">
    <w:pPr>
      <w:pStyle w:val="Header"/>
      <w:jc w:val="right"/>
      <w:rPr>
        <w:color w:val="4F81BD" w:themeColor="accent1"/>
        <w:sz w:val="48"/>
        <w:szCs w:val="48"/>
      </w:rPr>
    </w:pPr>
    <w:r w:rsidRPr="0000311E">
      <w:rPr>
        <w:color w:val="4F81BD" w:themeColor="accent1"/>
        <w:sz w:val="48"/>
        <w:szCs w:val="48"/>
      </w:rPr>
      <w:t>DRAFT</w:t>
    </w:r>
  </w:p>
  <w:p w14:paraId="6045583C" w14:textId="77777777" w:rsidR="00424446" w:rsidRDefault="00424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DC6"/>
    <w:multiLevelType w:val="multilevel"/>
    <w:tmpl w:val="C886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C18A5"/>
    <w:multiLevelType w:val="multilevel"/>
    <w:tmpl w:val="7002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E5279"/>
    <w:multiLevelType w:val="multilevel"/>
    <w:tmpl w:val="6E8E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744234"/>
    <w:multiLevelType w:val="multilevel"/>
    <w:tmpl w:val="23C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E37A2"/>
    <w:multiLevelType w:val="multilevel"/>
    <w:tmpl w:val="1E4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8482389">
    <w:abstractNumId w:val="3"/>
  </w:num>
  <w:num w:numId="2" w16cid:durableId="452483726">
    <w:abstractNumId w:val="1"/>
  </w:num>
  <w:num w:numId="3" w16cid:durableId="1419642040">
    <w:abstractNumId w:val="0"/>
  </w:num>
  <w:num w:numId="4" w16cid:durableId="928466430">
    <w:abstractNumId w:val="2"/>
  </w:num>
  <w:num w:numId="5" w16cid:durableId="5209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C:\Users\local_ccarson\INetCache\Content.Outlook\F9TIJXO9\2026 Engineer's Report SLRMWD 6_12_26 DRAFT.docx"/>
    <w:docVar w:name="DMSVersion" w:val="1"/>
  </w:docVars>
  <w:rsids>
    <w:rsidRoot w:val="00C40DF9"/>
    <w:rsid w:val="0000225A"/>
    <w:rsid w:val="0000311E"/>
    <w:rsid w:val="00006182"/>
    <w:rsid w:val="0002353F"/>
    <w:rsid w:val="000336B8"/>
    <w:rsid w:val="00055262"/>
    <w:rsid w:val="00057438"/>
    <w:rsid w:val="000676AE"/>
    <w:rsid w:val="00072989"/>
    <w:rsid w:val="0007647A"/>
    <w:rsid w:val="00090AC5"/>
    <w:rsid w:val="00090CC9"/>
    <w:rsid w:val="00092430"/>
    <w:rsid w:val="00095E23"/>
    <w:rsid w:val="00096C93"/>
    <w:rsid w:val="000C67E4"/>
    <w:rsid w:val="000D22D9"/>
    <w:rsid w:val="000E0DF4"/>
    <w:rsid w:val="000E5D27"/>
    <w:rsid w:val="000E6589"/>
    <w:rsid w:val="00124EBD"/>
    <w:rsid w:val="0012616E"/>
    <w:rsid w:val="001321E0"/>
    <w:rsid w:val="0013425E"/>
    <w:rsid w:val="00152F47"/>
    <w:rsid w:val="00157E4C"/>
    <w:rsid w:val="001622E4"/>
    <w:rsid w:val="001715BC"/>
    <w:rsid w:val="001811FA"/>
    <w:rsid w:val="001964DF"/>
    <w:rsid w:val="001D1E75"/>
    <w:rsid w:val="001D5AA5"/>
    <w:rsid w:val="001E2001"/>
    <w:rsid w:val="001E39B6"/>
    <w:rsid w:val="001F488C"/>
    <w:rsid w:val="00201497"/>
    <w:rsid w:val="00203DAF"/>
    <w:rsid w:val="00212892"/>
    <w:rsid w:val="00213EA9"/>
    <w:rsid w:val="00214E71"/>
    <w:rsid w:val="00230A49"/>
    <w:rsid w:val="00246319"/>
    <w:rsid w:val="0024646B"/>
    <w:rsid w:val="00246EE6"/>
    <w:rsid w:val="00254517"/>
    <w:rsid w:val="00255FBD"/>
    <w:rsid w:val="002745E5"/>
    <w:rsid w:val="00293B4F"/>
    <w:rsid w:val="00295D80"/>
    <w:rsid w:val="002A13DF"/>
    <w:rsid w:val="002A185E"/>
    <w:rsid w:val="002D424B"/>
    <w:rsid w:val="002D505E"/>
    <w:rsid w:val="003333CF"/>
    <w:rsid w:val="00333402"/>
    <w:rsid w:val="003423D9"/>
    <w:rsid w:val="003749A5"/>
    <w:rsid w:val="00380C98"/>
    <w:rsid w:val="00395D20"/>
    <w:rsid w:val="003B10DC"/>
    <w:rsid w:val="003C0DF5"/>
    <w:rsid w:val="003C6910"/>
    <w:rsid w:val="003D3CBA"/>
    <w:rsid w:val="003F0EA9"/>
    <w:rsid w:val="003F2710"/>
    <w:rsid w:val="003F7B82"/>
    <w:rsid w:val="004031A6"/>
    <w:rsid w:val="00424446"/>
    <w:rsid w:val="00441DEC"/>
    <w:rsid w:val="00445DB7"/>
    <w:rsid w:val="00460FE8"/>
    <w:rsid w:val="00462859"/>
    <w:rsid w:val="004645CC"/>
    <w:rsid w:val="00474F3C"/>
    <w:rsid w:val="00481DB2"/>
    <w:rsid w:val="004C679F"/>
    <w:rsid w:val="004D0457"/>
    <w:rsid w:val="004D2BE1"/>
    <w:rsid w:val="004D3513"/>
    <w:rsid w:val="004E0ADC"/>
    <w:rsid w:val="004E3A9E"/>
    <w:rsid w:val="00500FCB"/>
    <w:rsid w:val="00506B79"/>
    <w:rsid w:val="00520669"/>
    <w:rsid w:val="00522A32"/>
    <w:rsid w:val="00527D7D"/>
    <w:rsid w:val="005310F8"/>
    <w:rsid w:val="00534F9B"/>
    <w:rsid w:val="005401F1"/>
    <w:rsid w:val="0055038E"/>
    <w:rsid w:val="00554723"/>
    <w:rsid w:val="005554D1"/>
    <w:rsid w:val="005560DC"/>
    <w:rsid w:val="00562CB0"/>
    <w:rsid w:val="00587A97"/>
    <w:rsid w:val="005A7A9E"/>
    <w:rsid w:val="005B6E46"/>
    <w:rsid w:val="005C3F61"/>
    <w:rsid w:val="005D12E7"/>
    <w:rsid w:val="005D2439"/>
    <w:rsid w:val="005E448D"/>
    <w:rsid w:val="005E5E76"/>
    <w:rsid w:val="005F1737"/>
    <w:rsid w:val="005F2B64"/>
    <w:rsid w:val="005F4762"/>
    <w:rsid w:val="006071AF"/>
    <w:rsid w:val="00611F78"/>
    <w:rsid w:val="00614087"/>
    <w:rsid w:val="006261BF"/>
    <w:rsid w:val="00634A8B"/>
    <w:rsid w:val="00642029"/>
    <w:rsid w:val="00661614"/>
    <w:rsid w:val="00666460"/>
    <w:rsid w:val="006665F0"/>
    <w:rsid w:val="006A6AA6"/>
    <w:rsid w:val="006B172E"/>
    <w:rsid w:val="006B1754"/>
    <w:rsid w:val="006C0130"/>
    <w:rsid w:val="006C62B9"/>
    <w:rsid w:val="006E000A"/>
    <w:rsid w:val="006E7B2C"/>
    <w:rsid w:val="006F0C13"/>
    <w:rsid w:val="0071037E"/>
    <w:rsid w:val="00722485"/>
    <w:rsid w:val="00725015"/>
    <w:rsid w:val="007267B9"/>
    <w:rsid w:val="007270A4"/>
    <w:rsid w:val="00745038"/>
    <w:rsid w:val="00747C97"/>
    <w:rsid w:val="007821C0"/>
    <w:rsid w:val="00783BC7"/>
    <w:rsid w:val="00786D65"/>
    <w:rsid w:val="00791983"/>
    <w:rsid w:val="007C63A4"/>
    <w:rsid w:val="007D46C8"/>
    <w:rsid w:val="007E3C2A"/>
    <w:rsid w:val="007E74CD"/>
    <w:rsid w:val="007F4251"/>
    <w:rsid w:val="00800767"/>
    <w:rsid w:val="00815A8D"/>
    <w:rsid w:val="00823A8D"/>
    <w:rsid w:val="00840524"/>
    <w:rsid w:val="00844FC0"/>
    <w:rsid w:val="00865EED"/>
    <w:rsid w:val="008762D6"/>
    <w:rsid w:val="00885328"/>
    <w:rsid w:val="00895AC5"/>
    <w:rsid w:val="00896680"/>
    <w:rsid w:val="008A4F4E"/>
    <w:rsid w:val="008A6FA4"/>
    <w:rsid w:val="008B13CC"/>
    <w:rsid w:val="008B3BBA"/>
    <w:rsid w:val="008D1A8E"/>
    <w:rsid w:val="008D3E58"/>
    <w:rsid w:val="008D435C"/>
    <w:rsid w:val="008E2794"/>
    <w:rsid w:val="008F4510"/>
    <w:rsid w:val="00907D7B"/>
    <w:rsid w:val="009146C6"/>
    <w:rsid w:val="0093277B"/>
    <w:rsid w:val="00966248"/>
    <w:rsid w:val="009817DC"/>
    <w:rsid w:val="00995A6E"/>
    <w:rsid w:val="00997F7D"/>
    <w:rsid w:val="009A4108"/>
    <w:rsid w:val="009D172A"/>
    <w:rsid w:val="009E1C49"/>
    <w:rsid w:val="009E63C1"/>
    <w:rsid w:val="009F6604"/>
    <w:rsid w:val="00A113FC"/>
    <w:rsid w:val="00A36D96"/>
    <w:rsid w:val="00A41F02"/>
    <w:rsid w:val="00A429F7"/>
    <w:rsid w:val="00A4574D"/>
    <w:rsid w:val="00A46264"/>
    <w:rsid w:val="00A472A6"/>
    <w:rsid w:val="00A61489"/>
    <w:rsid w:val="00A61EE2"/>
    <w:rsid w:val="00A8494B"/>
    <w:rsid w:val="00AA6BF0"/>
    <w:rsid w:val="00AB523D"/>
    <w:rsid w:val="00AC43F7"/>
    <w:rsid w:val="00AE1A8D"/>
    <w:rsid w:val="00AE4A23"/>
    <w:rsid w:val="00B00ECA"/>
    <w:rsid w:val="00B14169"/>
    <w:rsid w:val="00B572A1"/>
    <w:rsid w:val="00B61AA1"/>
    <w:rsid w:val="00B76673"/>
    <w:rsid w:val="00B80020"/>
    <w:rsid w:val="00BB26C1"/>
    <w:rsid w:val="00BB58EE"/>
    <w:rsid w:val="00BC0986"/>
    <w:rsid w:val="00BC2D1C"/>
    <w:rsid w:val="00BE212F"/>
    <w:rsid w:val="00BF3737"/>
    <w:rsid w:val="00C10B1D"/>
    <w:rsid w:val="00C20E1C"/>
    <w:rsid w:val="00C31E99"/>
    <w:rsid w:val="00C40DF9"/>
    <w:rsid w:val="00C4481F"/>
    <w:rsid w:val="00C470C7"/>
    <w:rsid w:val="00C6194B"/>
    <w:rsid w:val="00C67CD0"/>
    <w:rsid w:val="00C71388"/>
    <w:rsid w:val="00C83383"/>
    <w:rsid w:val="00C9193D"/>
    <w:rsid w:val="00C9456A"/>
    <w:rsid w:val="00C94804"/>
    <w:rsid w:val="00C975AF"/>
    <w:rsid w:val="00CB6080"/>
    <w:rsid w:val="00CC6165"/>
    <w:rsid w:val="00CE1624"/>
    <w:rsid w:val="00CF2FA0"/>
    <w:rsid w:val="00D05581"/>
    <w:rsid w:val="00D32B2A"/>
    <w:rsid w:val="00D5565D"/>
    <w:rsid w:val="00D617BD"/>
    <w:rsid w:val="00DA3B32"/>
    <w:rsid w:val="00DA7DFA"/>
    <w:rsid w:val="00DB160A"/>
    <w:rsid w:val="00DB6724"/>
    <w:rsid w:val="00DB6DBE"/>
    <w:rsid w:val="00DC1895"/>
    <w:rsid w:val="00DC4DC0"/>
    <w:rsid w:val="00DD20F4"/>
    <w:rsid w:val="00DD2E53"/>
    <w:rsid w:val="00DE4D95"/>
    <w:rsid w:val="00DE773E"/>
    <w:rsid w:val="00E15F42"/>
    <w:rsid w:val="00E864D6"/>
    <w:rsid w:val="00E943E5"/>
    <w:rsid w:val="00EB0BD6"/>
    <w:rsid w:val="00EB721D"/>
    <w:rsid w:val="00EE25CB"/>
    <w:rsid w:val="00F155BB"/>
    <w:rsid w:val="00F2007B"/>
    <w:rsid w:val="00F257BE"/>
    <w:rsid w:val="00F459C7"/>
    <w:rsid w:val="00F578F4"/>
    <w:rsid w:val="00F732B7"/>
    <w:rsid w:val="00F76041"/>
    <w:rsid w:val="00F77C81"/>
    <w:rsid w:val="00F870AA"/>
    <w:rsid w:val="00F9181A"/>
    <w:rsid w:val="00FC2B25"/>
    <w:rsid w:val="00FD22C6"/>
    <w:rsid w:val="00FD577F"/>
    <w:rsid w:val="00FE7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BE292"/>
  <w15:docId w15:val="{22ACA1B4-2D59-4928-83BF-2E30FCA6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6AA6"/>
    <w:rPr>
      <w:sz w:val="16"/>
      <w:szCs w:val="16"/>
    </w:rPr>
  </w:style>
  <w:style w:type="paragraph" w:styleId="CommentText">
    <w:name w:val="annotation text"/>
    <w:basedOn w:val="Normal"/>
    <w:link w:val="CommentTextChar"/>
    <w:uiPriority w:val="99"/>
    <w:semiHidden/>
    <w:unhideWhenUsed/>
    <w:rsid w:val="006A6AA6"/>
    <w:pPr>
      <w:spacing w:line="240" w:lineRule="auto"/>
    </w:pPr>
    <w:rPr>
      <w:sz w:val="20"/>
      <w:szCs w:val="20"/>
    </w:rPr>
  </w:style>
  <w:style w:type="character" w:customStyle="1" w:styleId="CommentTextChar">
    <w:name w:val="Comment Text Char"/>
    <w:basedOn w:val="DefaultParagraphFont"/>
    <w:link w:val="CommentText"/>
    <w:uiPriority w:val="99"/>
    <w:semiHidden/>
    <w:rsid w:val="006A6AA6"/>
    <w:rPr>
      <w:sz w:val="20"/>
      <w:szCs w:val="20"/>
    </w:rPr>
  </w:style>
  <w:style w:type="paragraph" w:styleId="CommentSubject">
    <w:name w:val="annotation subject"/>
    <w:basedOn w:val="CommentText"/>
    <w:next w:val="CommentText"/>
    <w:link w:val="CommentSubjectChar"/>
    <w:uiPriority w:val="99"/>
    <w:semiHidden/>
    <w:unhideWhenUsed/>
    <w:rsid w:val="006A6AA6"/>
    <w:rPr>
      <w:b/>
      <w:bCs/>
    </w:rPr>
  </w:style>
  <w:style w:type="character" w:customStyle="1" w:styleId="CommentSubjectChar">
    <w:name w:val="Comment Subject Char"/>
    <w:basedOn w:val="CommentTextChar"/>
    <w:link w:val="CommentSubject"/>
    <w:uiPriority w:val="99"/>
    <w:semiHidden/>
    <w:rsid w:val="006A6AA6"/>
    <w:rPr>
      <w:b/>
      <w:bCs/>
      <w:sz w:val="20"/>
      <w:szCs w:val="20"/>
    </w:rPr>
  </w:style>
  <w:style w:type="paragraph" w:styleId="BalloonText">
    <w:name w:val="Balloon Text"/>
    <w:basedOn w:val="Normal"/>
    <w:link w:val="BalloonTextChar"/>
    <w:uiPriority w:val="99"/>
    <w:semiHidden/>
    <w:unhideWhenUsed/>
    <w:rsid w:val="006A6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AA6"/>
    <w:rPr>
      <w:rFonts w:ascii="Tahoma" w:hAnsi="Tahoma" w:cs="Tahoma"/>
      <w:sz w:val="16"/>
      <w:szCs w:val="16"/>
    </w:rPr>
  </w:style>
  <w:style w:type="paragraph" w:styleId="Header">
    <w:name w:val="header"/>
    <w:basedOn w:val="Normal"/>
    <w:link w:val="HeaderChar"/>
    <w:uiPriority w:val="99"/>
    <w:unhideWhenUsed/>
    <w:rsid w:val="006C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2B9"/>
  </w:style>
  <w:style w:type="paragraph" w:styleId="Footer">
    <w:name w:val="footer"/>
    <w:basedOn w:val="Normal"/>
    <w:link w:val="FooterChar"/>
    <w:uiPriority w:val="99"/>
    <w:unhideWhenUsed/>
    <w:rsid w:val="006C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2B9"/>
  </w:style>
  <w:style w:type="paragraph" w:styleId="ListParagraph">
    <w:name w:val="List Paragraph"/>
    <w:basedOn w:val="Normal"/>
    <w:uiPriority w:val="34"/>
    <w:qFormat/>
    <w:rsid w:val="00614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34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1607-3CBE-4A74-9523-844BAABA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2530</Words>
  <Characters>14654</Characters>
  <Application>Microsoft Office Word</Application>
  <DocSecurity>0</DocSecurity>
  <Lines>261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Christine M. Carson</cp:lastModifiedBy>
  <cp:revision>2</cp:revision>
  <cp:lastPrinted>2023-05-17T05:37:00Z</cp:lastPrinted>
  <dcterms:created xsi:type="dcterms:W3CDTF">2026-06-23T23:04:00Z</dcterms:created>
  <dcterms:modified xsi:type="dcterms:W3CDTF">2026-06-23T23:04:00Z</dcterms:modified>
</cp:coreProperties>
</file>